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520447</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b/>
          <w:sz w:val="24"/>
          <w:szCs w:val="24"/>
          <w:highlight w:val="none"/>
          <w:lang w:eastAsia="zh-CN"/>
        </w:rPr>
        <w:t>Dallas, USA, Nov. 17-21</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2025</w:t>
      </w:r>
    </w:p>
    <w:p w14:paraId="607309BB">
      <w:pPr>
        <w:tabs>
          <w:tab w:val="left" w:pos="1985"/>
        </w:tabs>
        <w:rPr>
          <w:rFonts w:ascii="Times New Roman" w:hAnsi="Times New Roman"/>
          <w:b/>
          <w:sz w:val="22"/>
          <w:highlight w:val="none"/>
        </w:rPr>
      </w:pPr>
    </w:p>
    <w:p w14:paraId="51C17403">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6"/>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6"/>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6"/>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initial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RRM aspects for 6G</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7BCC9243">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2.1 Measurement gap(MG) and interruption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613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B004C0F">
            <w:pPr>
              <w:bidi w:val="0"/>
              <w:rPr>
                <w:rFonts w:hint="default" w:ascii="Times New Roman" w:hAnsi="Times New Roman" w:cs="Times New Roman"/>
                <w:b/>
                <w:bCs/>
                <w:lang w:val="en-US"/>
              </w:rPr>
            </w:pPr>
            <w:r>
              <w:rPr>
                <w:rFonts w:hint="default" w:ascii="Times New Roman" w:hAnsi="Times New Roman" w:cs="Times New Roman"/>
                <w:b/>
                <w:bCs/>
                <w:lang w:val="en-US"/>
              </w:rPr>
              <w:t>Issue 4: Measurement gap(MG) and interruption</w:t>
            </w:r>
          </w:p>
          <w:p w14:paraId="6572C52C">
            <w:pPr>
              <w:rPr>
                <w:rFonts w:hint="default" w:ascii="Times New Roman" w:hAnsi="Times New Roman" w:cs="Times New Roman"/>
                <w:bCs/>
                <w:color w:val="0070C0"/>
                <w:sz w:val="20"/>
                <w:szCs w:val="20"/>
                <w:u w:val="single"/>
                <w:lang w:eastAsia="ko-KR"/>
              </w:rPr>
            </w:pPr>
            <w:r>
              <w:rPr>
                <w:rFonts w:hint="default" w:ascii="Times New Roman" w:hAnsi="Times New Roman" w:cs="Times New Roman"/>
                <w:bCs/>
                <w:color w:val="0070C0"/>
                <w:sz w:val="20"/>
                <w:szCs w:val="20"/>
                <w:u w:val="single"/>
                <w:lang w:eastAsia="ko-KR"/>
              </w:rPr>
              <w:t>Issue 4-1: MG related scope</w:t>
            </w:r>
          </w:p>
          <w:p w14:paraId="7F030E22">
            <w:pPr>
              <w:rPr>
                <w:rFonts w:hint="default" w:ascii="Times New Roman" w:hAnsi="Times New Roman" w:cs="Times New Roman"/>
                <w:bCs/>
                <w:color w:val="0070C0"/>
                <w:sz w:val="20"/>
                <w:szCs w:val="20"/>
                <w:u w:val="single"/>
                <w:lang w:eastAsia="ko-KR"/>
              </w:rPr>
            </w:pPr>
          </w:p>
          <w:p w14:paraId="06374187">
            <w:pPr>
              <w:spacing w:after="12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 xml:space="preserve">Agreement in main session (Tue): </w:t>
            </w:r>
          </w:p>
          <w:p w14:paraId="25F61DD1">
            <w:pPr>
              <w:spacing w:after="12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 xml:space="preserve">Measurement gap, including gap-less measurement, is agreed as part of RAN4 RRM 6G study. The detailed scope will be further decided. </w:t>
            </w:r>
          </w:p>
          <w:p w14:paraId="7F06E131">
            <w:pPr>
              <w:pStyle w:val="16"/>
              <w:numPr>
                <w:ilvl w:val="0"/>
                <w:numId w:val="7"/>
              </w:numPr>
              <w:spacing w:after="120"/>
              <w:ind w:firstLineChars="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Interruption enhancement due to gap-less measurement will be part of the MG discussion.</w:t>
            </w:r>
          </w:p>
          <w:p w14:paraId="77C03BA3">
            <w:pPr>
              <w:pStyle w:val="16"/>
              <w:spacing w:after="120"/>
              <w:ind w:firstLine="0" w:firstLineChars="0"/>
              <w:rPr>
                <w:rFonts w:hint="default" w:ascii="Times New Roman" w:hAnsi="Times New Roman" w:cs="Times New Roman"/>
                <w:bCs/>
                <w:sz w:val="20"/>
                <w:szCs w:val="20"/>
              </w:rPr>
            </w:pPr>
            <w:r>
              <w:rPr>
                <w:rFonts w:hint="default" w:ascii="Times New Roman" w:hAnsi="Times New Roman" w:cs="Times New Roman"/>
                <w:bCs/>
                <w:sz w:val="20"/>
                <w:szCs w:val="20"/>
              </w:rPr>
              <w:t>[Way forward]</w:t>
            </w:r>
          </w:p>
          <w:p w14:paraId="4C7D49E6">
            <w:pPr>
              <w:pStyle w:val="16"/>
              <w:numPr>
                <w:ilvl w:val="1"/>
                <w:numId w:val="8"/>
              </w:numPr>
              <w:overflowPunct/>
              <w:autoSpaceDE/>
              <w:autoSpaceDN/>
              <w:adjustRightInd/>
              <w:spacing w:after="120"/>
              <w:ind w:left="36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FFS followings in RAN4#117 (other sub-topics are not precluded)</w:t>
            </w:r>
          </w:p>
          <w:p w14:paraId="7D88CB61">
            <w:pPr>
              <w:pStyle w:val="16"/>
              <w:numPr>
                <w:ilvl w:val="2"/>
                <w:numId w:val="8"/>
              </w:numPr>
              <w:overflowPunct/>
              <w:autoSpaceDE/>
              <w:autoSpaceDN/>
              <w:adjustRightInd/>
              <w:spacing w:after="120"/>
              <w:ind w:left="108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based on the majority views from companies, RAN4 RRM to discuss which</w:t>
            </w:r>
            <w:r>
              <w:rPr>
                <w:rFonts w:hint="default" w:ascii="Times New Roman" w:hAnsi="Times New Roman" w:cs="Times New Roman"/>
                <w:bCs/>
                <w:sz w:val="20"/>
                <w:szCs w:val="20"/>
              </w:rPr>
              <w:t xml:space="preserve"> MG related sub-topics can be prioritized from the following candidate list,</w:t>
            </w:r>
            <w:r>
              <w:rPr>
                <w:rFonts w:hint="default" w:ascii="Times New Roman" w:hAnsi="Times New Roman" w:eastAsia="宋体" w:cs="Times New Roman"/>
                <w:bCs/>
                <w:sz w:val="20"/>
                <w:szCs w:val="20"/>
              </w:rPr>
              <w:t xml:space="preserve"> and then discuss the solutions for the selected topics in 6G SI</w:t>
            </w:r>
            <w:r>
              <w:rPr>
                <w:rFonts w:hint="default" w:ascii="Times New Roman" w:hAnsi="Times New Roman" w:cs="Times New Roman"/>
                <w:bCs/>
                <w:sz w:val="20"/>
                <w:szCs w:val="20"/>
              </w:rPr>
              <w:t>:</w:t>
            </w:r>
          </w:p>
          <w:p w14:paraId="03EF3C62">
            <w:pPr>
              <w:pStyle w:val="16"/>
              <w:numPr>
                <w:ilvl w:val="3"/>
                <w:numId w:val="8"/>
              </w:numPr>
              <w:overflowPunct/>
              <w:autoSpaceDE/>
              <w:autoSpaceDN/>
              <w:adjustRightInd/>
              <w:spacing w:after="120"/>
              <w:ind w:left="180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MG pattern reduction from 5G (10 companies: Apple, MTK, QC, OPPO, Sony, Xiaomi, vivo, Ericsson, Samsung, Nokia)</w:t>
            </w:r>
          </w:p>
          <w:p w14:paraId="11E91FF6">
            <w:pPr>
              <w:pStyle w:val="16"/>
              <w:overflowPunct/>
              <w:autoSpaceDE/>
              <w:autoSpaceDN/>
              <w:adjustRightInd/>
              <w:spacing w:after="120"/>
              <w:ind w:left="360" w:firstLine="0" w:firstLineChars="0"/>
              <w:textAlignment w:val="auto"/>
              <w:rPr>
                <w:rFonts w:hint="default" w:ascii="Times New Roman" w:hAnsi="Times New Roman" w:eastAsia="宋体" w:cs="Times New Roman"/>
                <w:bCs/>
                <w:sz w:val="20"/>
                <w:szCs w:val="20"/>
              </w:rPr>
            </w:pPr>
          </w:p>
          <w:p w14:paraId="0BEC1D8C">
            <w:pPr>
              <w:pStyle w:val="16"/>
              <w:numPr>
                <w:ilvl w:val="3"/>
                <w:numId w:val="8"/>
              </w:numPr>
              <w:overflowPunct/>
              <w:autoSpaceDE/>
              <w:autoSpaceDN/>
              <w:adjustRightInd/>
              <w:spacing w:after="120"/>
              <w:ind w:left="180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Gap-less measurement and its side conditions (10 companies: MTK, Samsung, CMCC, ZTE, NTT DCM, HW, Ericsson, Nokia, QC, Xiaomi)</w:t>
            </w:r>
          </w:p>
          <w:p w14:paraId="740FECFD">
            <w:pPr>
              <w:pStyle w:val="16"/>
              <w:numPr>
                <w:ilvl w:val="4"/>
                <w:numId w:val="8"/>
              </w:numPr>
              <w:overflowPunct/>
              <w:autoSpaceDE/>
              <w:autoSpaceDN/>
              <w:adjustRightInd/>
              <w:spacing w:after="120"/>
              <w:ind w:left="252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In scenarios with and without an available RF chain.</w:t>
            </w:r>
          </w:p>
          <w:p w14:paraId="7C364232">
            <w:pPr>
              <w:pStyle w:val="16"/>
              <w:numPr>
                <w:ilvl w:val="3"/>
                <w:numId w:val="8"/>
              </w:numPr>
              <w:overflowPunct/>
              <w:autoSpaceDE/>
              <w:autoSpaceDN/>
              <w:adjustRightInd/>
              <w:spacing w:after="120"/>
              <w:ind w:left="180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Unified MG (7 companies: Apple, OPPO, LGE, Xiaomi, ZTE, Ericsson, QC), e.g., </w:t>
            </w:r>
          </w:p>
          <w:p w14:paraId="48967D29">
            <w:pPr>
              <w:pStyle w:val="16"/>
              <w:numPr>
                <w:ilvl w:val="4"/>
                <w:numId w:val="8"/>
              </w:numPr>
              <w:overflowPunct/>
              <w:autoSpaceDE/>
              <w:autoSpaceDN/>
              <w:adjustRightInd/>
              <w:spacing w:after="120"/>
              <w:ind w:left="252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Unified MG configuration</w:t>
            </w:r>
          </w:p>
          <w:p w14:paraId="504C779E">
            <w:pPr>
              <w:pStyle w:val="16"/>
              <w:numPr>
                <w:ilvl w:val="4"/>
                <w:numId w:val="8"/>
              </w:numPr>
              <w:overflowPunct/>
              <w:autoSpaceDE/>
              <w:autoSpaceDN/>
              <w:adjustRightInd/>
              <w:spacing w:after="120"/>
              <w:ind w:left="252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Unified MG and scheduling restriction</w:t>
            </w:r>
          </w:p>
          <w:p w14:paraId="2095CD8E">
            <w:pPr>
              <w:pStyle w:val="16"/>
              <w:numPr>
                <w:ilvl w:val="4"/>
                <w:numId w:val="8"/>
              </w:numPr>
              <w:overflowPunct/>
              <w:autoSpaceDE/>
              <w:autoSpaceDN/>
              <w:adjustRightInd/>
              <w:spacing w:after="120"/>
              <w:ind w:left="252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Unified MG for different feature related measurements</w:t>
            </w:r>
          </w:p>
          <w:p w14:paraId="2DFB7C4E">
            <w:pPr>
              <w:pStyle w:val="16"/>
              <w:numPr>
                <w:ilvl w:val="3"/>
                <w:numId w:val="8"/>
              </w:numPr>
              <w:overflowPunct/>
              <w:autoSpaceDE/>
              <w:autoSpaceDN/>
              <w:adjustRightInd/>
              <w:spacing w:after="120"/>
              <w:ind w:left="180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Adapative MG operation, e.g., activation/deactivation/cancellation/skipping (</w:t>
            </w:r>
            <w:r>
              <w:rPr>
                <w:rFonts w:hint="default" w:ascii="Times New Roman" w:hAnsi="Times New Roman" w:eastAsia="Malgun Gothic" w:cs="Times New Roman"/>
                <w:bCs/>
                <w:sz w:val="20"/>
                <w:szCs w:val="20"/>
                <w:lang w:eastAsia="ko-KR"/>
              </w:rPr>
              <w:t>7</w:t>
            </w:r>
            <w:r>
              <w:rPr>
                <w:rFonts w:hint="default" w:ascii="Times New Roman" w:hAnsi="Times New Roman" w:eastAsia="宋体" w:cs="Times New Roman"/>
                <w:bCs/>
                <w:sz w:val="20"/>
                <w:szCs w:val="20"/>
              </w:rPr>
              <w:t xml:space="preserve"> companies: Apple, OPPO, CMCC, Xiaomi, ZTE, Ericsson</w:t>
            </w:r>
            <w:r>
              <w:rPr>
                <w:rFonts w:hint="default" w:ascii="Times New Roman" w:hAnsi="Times New Roman" w:eastAsia="Malgun Gothic" w:cs="Times New Roman"/>
                <w:bCs/>
                <w:sz w:val="20"/>
                <w:szCs w:val="20"/>
                <w:lang w:eastAsia="ko-KR"/>
              </w:rPr>
              <w:t>, LGE</w:t>
            </w:r>
            <w:r>
              <w:rPr>
                <w:rFonts w:hint="default" w:ascii="Times New Roman" w:hAnsi="Times New Roman" w:eastAsia="宋体" w:cs="Times New Roman"/>
                <w:bCs/>
                <w:sz w:val="20"/>
                <w:szCs w:val="20"/>
              </w:rPr>
              <w:t>)</w:t>
            </w:r>
          </w:p>
          <w:p w14:paraId="23DC8D43">
            <w:pPr>
              <w:pStyle w:val="16"/>
              <w:numPr>
                <w:ilvl w:val="3"/>
                <w:numId w:val="8"/>
              </w:numPr>
              <w:overflowPunct/>
              <w:autoSpaceDE/>
              <w:autoSpaceDN/>
              <w:adjustRightInd/>
              <w:spacing w:after="120"/>
              <w:ind w:left="180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Using which 5G MG enhancement features to 6G day 1 (OPPO, CMCC, Xiaomi, vivo)</w:t>
            </w:r>
          </w:p>
          <w:p w14:paraId="5F23FD68">
            <w:pPr>
              <w:pStyle w:val="16"/>
              <w:numPr>
                <w:ilvl w:val="4"/>
                <w:numId w:val="8"/>
              </w:numPr>
              <w:overflowPunct/>
              <w:autoSpaceDE/>
              <w:autoSpaceDN/>
              <w:adjustRightInd/>
              <w:spacing w:after="120"/>
              <w:ind w:left="252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E.g., needforGap, NCSG, concurrent MG, preconfigured MG and etc.</w:t>
            </w:r>
          </w:p>
          <w:p w14:paraId="02BD7639">
            <w:pPr>
              <w:pStyle w:val="16"/>
              <w:numPr>
                <w:ilvl w:val="3"/>
                <w:numId w:val="8"/>
              </w:numPr>
              <w:overflowPunct/>
              <w:autoSpaceDE/>
              <w:autoSpaceDN/>
              <w:adjustRightInd/>
              <w:spacing w:after="120"/>
              <w:ind w:left="180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MG sharing(Apple, OPPO, vivo), e.g.,</w:t>
            </w:r>
          </w:p>
          <w:p w14:paraId="396D0A5A">
            <w:pPr>
              <w:pStyle w:val="16"/>
              <w:numPr>
                <w:ilvl w:val="4"/>
                <w:numId w:val="8"/>
              </w:numPr>
              <w:overflowPunct/>
              <w:autoSpaceDE/>
              <w:autoSpaceDN/>
              <w:adjustRightInd/>
              <w:spacing w:after="120"/>
              <w:ind w:left="252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among intra-frequency, inter-frequency, and inter-RAT measurement (including L3 and L1 measurement)</w:t>
            </w:r>
          </w:p>
          <w:p w14:paraId="2732E788">
            <w:pPr>
              <w:pStyle w:val="16"/>
              <w:numPr>
                <w:ilvl w:val="3"/>
                <w:numId w:val="8"/>
              </w:numPr>
              <w:overflowPunct/>
              <w:autoSpaceDE/>
              <w:autoSpaceDN/>
              <w:adjustRightInd/>
              <w:spacing w:after="120"/>
              <w:ind w:left="180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UE assisted MG configuration (Apple, QC)</w:t>
            </w:r>
          </w:p>
          <w:p w14:paraId="66E905CD">
            <w:pPr>
              <w:pStyle w:val="16"/>
              <w:numPr>
                <w:ilvl w:val="4"/>
                <w:numId w:val="8"/>
              </w:numPr>
              <w:overflowPunct/>
              <w:autoSpaceDE/>
              <w:autoSpaceDN/>
              <w:adjustRightInd/>
              <w:spacing w:after="120"/>
              <w:ind w:left="252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e.g., MG requesting by UE (Apple, QC)</w:t>
            </w:r>
          </w:p>
          <w:p w14:paraId="1490688F">
            <w:pPr>
              <w:pStyle w:val="16"/>
              <w:numPr>
                <w:ilvl w:val="3"/>
                <w:numId w:val="8"/>
              </w:numPr>
              <w:overflowPunct/>
              <w:autoSpaceDE/>
              <w:autoSpaceDN/>
              <w:adjustRightInd/>
              <w:spacing w:after="120"/>
              <w:ind w:left="180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Multi-CC measurements in MG (Apple, CMCC, ZTE(searcher related))</w:t>
            </w:r>
          </w:p>
          <w:p w14:paraId="0307FCB0">
            <w:pPr>
              <w:pStyle w:val="16"/>
              <w:numPr>
                <w:ilvl w:val="3"/>
                <w:numId w:val="8"/>
              </w:numPr>
              <w:overflowPunct/>
              <w:autoSpaceDE/>
              <w:autoSpaceDN/>
              <w:adjustRightInd/>
              <w:spacing w:after="120"/>
              <w:ind w:left="180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Optimization on MGL and RF tuning/retuning (Apple, MTK, QC)</w:t>
            </w:r>
          </w:p>
          <w:p w14:paraId="64758B08">
            <w:pPr>
              <w:pStyle w:val="16"/>
              <w:numPr>
                <w:ilvl w:val="3"/>
                <w:numId w:val="8"/>
              </w:numPr>
              <w:overflowPunct/>
              <w:autoSpaceDE/>
              <w:autoSpaceDN/>
              <w:adjustRightInd/>
              <w:spacing w:after="120"/>
              <w:ind w:left="180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MG applicability for per-UE, per-FR, per-CC, or per-CC group (OPPO, Xiaomi, ZTE(granularity))</w:t>
            </w:r>
          </w:p>
          <w:p w14:paraId="0C639A5D">
            <w:pPr>
              <w:rPr>
                <w:rFonts w:hint="default" w:ascii="Times New Roman" w:hAnsi="Times New Roman" w:eastAsia="宋体" w:cs="Times New Roman"/>
                <w:bCs/>
                <w:sz w:val="20"/>
                <w:szCs w:val="20"/>
              </w:rPr>
            </w:pPr>
          </w:p>
          <w:p w14:paraId="64258DD7">
            <w:pPr>
              <w:rPr>
                <w:rFonts w:hint="default" w:ascii="Times New Roman" w:hAnsi="Times New Roman" w:cs="Times New Roman"/>
                <w:bCs/>
                <w:color w:val="0070C0"/>
                <w:sz w:val="20"/>
                <w:szCs w:val="20"/>
                <w:u w:val="single"/>
                <w:lang w:eastAsia="ko-KR"/>
              </w:rPr>
            </w:pPr>
            <w:r>
              <w:rPr>
                <w:rFonts w:hint="default" w:ascii="Times New Roman" w:hAnsi="Times New Roman" w:cs="Times New Roman"/>
                <w:bCs/>
                <w:color w:val="0070C0"/>
                <w:sz w:val="20"/>
                <w:szCs w:val="20"/>
                <w:u w:val="single"/>
                <w:lang w:eastAsia="ko-KR"/>
              </w:rPr>
              <w:t>Issue 4-2: interruption related scope</w:t>
            </w:r>
          </w:p>
          <w:p w14:paraId="5971D549">
            <w:pPr>
              <w:pStyle w:val="16"/>
              <w:spacing w:after="120"/>
              <w:ind w:firstLine="0" w:firstLineChars="0"/>
              <w:rPr>
                <w:rFonts w:hint="default" w:ascii="Times New Roman" w:hAnsi="Times New Roman" w:cs="Times New Roman"/>
                <w:bCs/>
                <w:sz w:val="20"/>
                <w:szCs w:val="20"/>
              </w:rPr>
            </w:pPr>
            <w:r>
              <w:rPr>
                <w:rFonts w:hint="default" w:ascii="Times New Roman" w:hAnsi="Times New Roman" w:cs="Times New Roman"/>
                <w:bCs/>
                <w:sz w:val="20"/>
                <w:szCs w:val="20"/>
              </w:rPr>
              <w:t>[Way forward]</w:t>
            </w:r>
          </w:p>
          <w:p w14:paraId="0FBF69D1">
            <w:pPr>
              <w:pStyle w:val="16"/>
              <w:numPr>
                <w:ilvl w:val="1"/>
                <w:numId w:val="8"/>
              </w:numPr>
              <w:overflowPunct/>
              <w:autoSpaceDE/>
              <w:autoSpaceDN/>
              <w:adjustRightInd/>
              <w:spacing w:after="120"/>
              <w:ind w:left="360"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FFS followings in RAN4#117 (other sub-topics are not precluded)</w:t>
            </w:r>
          </w:p>
          <w:p w14:paraId="3D4B424E">
            <w:pPr>
              <w:pStyle w:val="16"/>
              <w:numPr>
                <w:ilvl w:val="0"/>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Proposal 1(QC):</w:t>
            </w:r>
          </w:p>
          <w:p w14:paraId="0B3B79D7">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should identify and evaluate mechanisms that enable interruption-free measurements, with a focus on deployability from the beginning of 6GR.</w:t>
            </w:r>
          </w:p>
          <w:p w14:paraId="03BDD5DF">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should study all existing interruption scenarios in 5G NR whether they are still applicable to 6GR, whether the existing requirements should be refined and whether interruptions are needed in certain scenarios not yet covered in 5G NR.</w:t>
            </w:r>
          </w:p>
          <w:p w14:paraId="24C2784C">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should study for the case of 15 kHz subcarrier spacing whether the unused half slot (0.5 ms) in the duration of a measurement gap can be used efficiently, e.g., for data transmission.</w:t>
            </w:r>
          </w:p>
          <w:p w14:paraId="538DBC7F">
            <w:pPr>
              <w:pStyle w:val="16"/>
              <w:numPr>
                <w:ilvl w:val="0"/>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Proposal 2(ZTE):</w:t>
            </w:r>
          </w:p>
          <w:p w14:paraId="7F853983">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Finer granularity of interruption such as symbol level is foreseen in 6G to benefit the throughput via avoid the vital symbols within a slot used for DCI or UCI. Awareness of the location of interruption by NW could lesson the impact on throughput.</w:t>
            </w:r>
          </w:p>
          <w:p w14:paraId="34FC4D94">
            <w:pPr>
              <w:pStyle w:val="16"/>
              <w:numPr>
                <w:ilvl w:val="0"/>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Proposal 3(Ericsson):</w:t>
            </w:r>
          </w:p>
          <w:p w14:paraId="4E38EB53">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shall strive for reducing the amount of interruptions in UEs.</w:t>
            </w:r>
          </w:p>
          <w:p w14:paraId="78A8B0B5">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The interruptions can be specified at a symbol level.</w:t>
            </w:r>
          </w:p>
          <w:p w14:paraId="7A8FFC9F">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The existing interruption requirements may need to be revisited for 6G, if the 6G UEs can achieve a better performance.</w:t>
            </w:r>
          </w:p>
          <w:p w14:paraId="00DB5D1F">
            <w:pPr>
              <w:pStyle w:val="16"/>
              <w:numPr>
                <w:ilvl w:val="0"/>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Proposal 4(Nokia):</w:t>
            </w:r>
          </w:p>
          <w:p w14:paraId="7A901D63">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to aim at removing all UE autonomous interruptions in 6G.</w:t>
            </w:r>
          </w:p>
          <w:p w14:paraId="05C468D7">
            <w:pPr>
              <w:pStyle w:val="16"/>
              <w:numPr>
                <w:ilvl w:val="0"/>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Proposal 5(MTK):</w:t>
            </w:r>
          </w:p>
          <w:p w14:paraId="379D2DB8">
            <w:pPr>
              <w:pStyle w:val="16"/>
              <w:numPr>
                <w:ilvl w:val="1"/>
                <w:numId w:val="8"/>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bCs/>
                <w:iCs/>
                <w:sz w:val="20"/>
                <w:szCs w:val="20"/>
              </w:rPr>
              <w:t>RAN4 (RRM/RF) to further study the possibility of reducing the interruption time including the RF retuning time for different UE procedures.</w:t>
            </w:r>
          </w:p>
        </w:tc>
      </w:tr>
    </w:tbl>
    <w:p w14:paraId="77E399C5">
      <w:pPr>
        <w:spacing w:after="180" w:line="240" w:lineRule="exact"/>
        <w:rPr>
          <w:rFonts w:hint="eastAsia" w:ascii="Times New Roman" w:hAnsi="Times New Roman" w:eastAsia="等线"/>
          <w:bCs/>
          <w:iCs/>
          <w:sz w:val="20"/>
          <w:szCs w:val="20"/>
          <w:lang w:val="en-US" w:eastAsia="zh-CN"/>
        </w:rPr>
      </w:pPr>
    </w:p>
    <w:p w14:paraId="40E9375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Measurement plays an important role in RAN4 RRM. Measurement enhancement, including multiple measurement gap types, introduced in different release in 5G. Per-UE gap and per-FR gap are the baseline. Inter-frequcy measurement without gap for the case that SSB is completely contained in the active BWP of the UE is introduced in Rel-16. NeedForGap is introduced by RAN2 in Rel-16, but the requirements are not specified until Rel-18. Concurrent MGs, Pre-MG, NCSG are introduced in Rel-17. Rel-18 focus on enhancements of pre-configured MGs, multiple concurrent MGs and NCSG, NR SSB-based inter-frequency and intra-frequency measurements without gaps, and inter-RAT measurement without gaps. XR transmission/reception in measurement gaps (MG skipping/canceling) is supported in Rel-19.</w:t>
      </w:r>
    </w:p>
    <w:p w14:paraId="6EB9660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Some useful features.e.g. measurement without gaps, are fully supported in Rel-18 when the related RAN4 requirements are specified. Since the standardization support for this feature is late, the market support is not well, it is challenging for companies to implement and deploy these feature. To avoid the same issue in 6GR, it is necessary that the feature with market demand are supported from 6G day-one.</w:t>
      </w:r>
    </w:p>
    <w:p w14:paraId="745CDCB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the feature with market demand are supported from 6G day-one.  </w:t>
      </w:r>
    </w:p>
    <w:p w14:paraId="52899DD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the perspective of operator, measurement without gaps is one of our interest. Measurement gap will result in throughput loss, e.g. 15% throughput loss is observed for MG pattern with 40ms MGRP and 6ms MGL. Gap-less measurement enable UE to measure the MOs outside its operating BWPs without measurement gaps,  which is beneficial for network since the impact on throughput is reduced. As mentioned above, for NR, NeedForGap is introduced by RAN2 in Rel-16, but the requirements are not specified until Rel-18. And NCSG is introduced in Rel-17. As a result, these features are not supported well in the real field. To avoid the same issue, for 6GR, it is necessary that measurement without gaps are supported from 6G day-one.</w:t>
      </w:r>
    </w:p>
    <w:p w14:paraId="66E68DF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2: it is proposed that measurement without gaps</w:t>
      </w:r>
      <w:r>
        <w:rPr>
          <w:rFonts w:hint="eastAsia" w:ascii="Times New Roman" w:hAnsi="Times New Roman" w:cs="Times New Roman"/>
          <w:b/>
          <w:bCs w:val="0"/>
          <w:i/>
          <w:iCs w:val="0"/>
          <w:sz w:val="20"/>
          <w:szCs w:val="20"/>
          <w:lang w:val="en-US" w:eastAsia="zh-CN"/>
        </w:rPr>
        <w:t xml:space="preserve"> are supported as mandatory from </w:t>
      </w:r>
      <w:r>
        <w:rPr>
          <w:rFonts w:hint="eastAsia" w:ascii="Times New Roman" w:hAnsi="Times New Roman" w:eastAsia="等线"/>
          <w:b/>
          <w:bCs w:val="0"/>
          <w:i/>
          <w:iCs w:val="0"/>
          <w:sz w:val="20"/>
          <w:szCs w:val="20"/>
          <w:lang w:val="en-US" w:eastAsia="zh-CN"/>
        </w:rPr>
        <w:t>6G day-one.</w:t>
      </w:r>
    </w:p>
    <w:p w14:paraId="6442BA0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measurement without gap, in NR, there are two candidate solutions: </w:t>
      </w:r>
      <w:r>
        <w:rPr>
          <w:rFonts w:hint="default" w:ascii="Times New Roman" w:hAnsi="Times New Roman" w:cs="Times New Roman"/>
          <w:i/>
          <w:iCs/>
          <w:sz w:val="20"/>
          <w:szCs w:val="20"/>
          <w:lang w:eastAsia="zh-CN"/>
        </w:rPr>
        <w:t>NeedForGapNCSG</w:t>
      </w:r>
      <w:r>
        <w:rPr>
          <w:rFonts w:hint="eastAsia" w:ascii="Times New Roman" w:hAnsi="Times New Roman" w:cs="Times New Roman"/>
          <w:i/>
          <w:iCs/>
          <w:sz w:val="20"/>
          <w:szCs w:val="20"/>
          <w:lang w:val="en-US" w:eastAsia="zh-CN"/>
        </w:rPr>
        <w:t>, NeedForGap-InfoNR</w:t>
      </w:r>
      <w:r>
        <w:rPr>
          <w:rFonts w:hint="eastAsia" w:ascii="Times New Roman" w:hAnsi="Times New Roman" w:eastAsia="等线"/>
          <w:bCs/>
          <w:iCs/>
          <w:sz w:val="20"/>
          <w:szCs w:val="20"/>
          <w:lang w:val="en-US" w:eastAsia="zh-CN"/>
        </w:rPr>
        <w:t xml:space="preserve">. The common part of these two solutions is that measurement without MG are performed by using the spare RF chain. The difference is whether the interruption location is known or not to network. The location of interruption for NCSG is clear between network and UE, which is the VIL of the NCSG pattern. While for </w:t>
      </w:r>
      <w:r>
        <w:rPr>
          <w:rFonts w:hint="default" w:ascii="Times New Roman" w:hAnsi="Times New Roman" w:cs="Times New Roman"/>
          <w:i/>
          <w:iCs/>
          <w:sz w:val="20"/>
          <w:szCs w:val="20"/>
          <w:lang w:eastAsia="zh-CN"/>
        </w:rPr>
        <w:t>NeedForGap</w:t>
      </w:r>
      <w:r>
        <w:rPr>
          <w:rFonts w:hint="eastAsia" w:ascii="Times New Roman" w:hAnsi="Times New Roman" w:eastAsia="等线"/>
          <w:bCs/>
          <w:iCs/>
          <w:sz w:val="20"/>
          <w:szCs w:val="20"/>
          <w:lang w:val="en-US" w:eastAsia="zh-CN"/>
        </w:rPr>
        <w:t xml:space="preserve">, the interruption location are not specified, only maximum interruption ratio are defined. </w:t>
      </w:r>
    </w:p>
    <w:p w14:paraId="6F182AD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6GR, to support measurement without gaps, the above 5G design can be used as starting point. However, one issue observed in 5G is that </w:t>
      </w:r>
      <w:r>
        <w:rPr>
          <w:rFonts w:hint="default" w:ascii="Times New Roman" w:hAnsi="Times New Roman" w:cs="Times New Roman"/>
          <w:i/>
          <w:iCs/>
          <w:sz w:val="20"/>
          <w:szCs w:val="20"/>
          <w:lang w:eastAsia="zh-CN"/>
        </w:rPr>
        <w:t>NCSG</w:t>
      </w:r>
      <w:r>
        <w:rPr>
          <w:rFonts w:hint="eastAsia" w:ascii="Times New Roman" w:hAnsi="Times New Roman" w:cs="Times New Roman"/>
          <w:i/>
          <w:iCs/>
          <w:sz w:val="20"/>
          <w:szCs w:val="20"/>
          <w:lang w:val="en-US" w:eastAsia="zh-CN"/>
        </w:rPr>
        <w:t xml:space="preserve"> </w:t>
      </w:r>
      <w:r>
        <w:rPr>
          <w:rFonts w:hint="eastAsia" w:ascii="Times New Roman" w:hAnsi="Times New Roman" w:eastAsia="等线"/>
          <w:bCs/>
          <w:iCs/>
          <w:sz w:val="20"/>
          <w:szCs w:val="20"/>
          <w:lang w:val="en-US" w:eastAsia="zh-CN"/>
        </w:rPr>
        <w:t xml:space="preserve">and </w:t>
      </w:r>
      <w:r>
        <w:rPr>
          <w:rFonts w:hint="eastAsia" w:ascii="Times New Roman" w:hAnsi="Times New Roman" w:cs="Times New Roman"/>
          <w:i/>
          <w:iCs/>
          <w:sz w:val="20"/>
          <w:szCs w:val="20"/>
          <w:lang w:val="en-US" w:eastAsia="zh-CN"/>
        </w:rPr>
        <w:t>NeedForGap</w:t>
      </w:r>
      <w:r>
        <w:rPr>
          <w:rFonts w:hint="eastAsia" w:ascii="Times New Roman" w:hAnsi="Times New Roman" w:eastAsia="等线"/>
          <w:bCs/>
          <w:iCs/>
          <w:sz w:val="20"/>
          <w:szCs w:val="20"/>
          <w:lang w:val="en-US" w:eastAsia="zh-CN"/>
        </w:rPr>
        <w:t xml:space="preserve"> are similar solutions, considering both solutions will lead to increased WG workload and fragmented market. It is better to focus on one of the solutions, not both.</w:t>
      </w:r>
    </w:p>
    <w:p w14:paraId="76F30CD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To support measurement without gaps for 6GR, 5G MG features, e.g. </w:t>
      </w:r>
      <w:r>
        <w:rPr>
          <w:rFonts w:hint="default" w:ascii="Times New Roman" w:hAnsi="Times New Roman" w:cs="Times New Roman"/>
          <w:b/>
          <w:bCs w:val="0"/>
          <w:i/>
          <w:iCs w:val="0"/>
          <w:sz w:val="20"/>
          <w:szCs w:val="20"/>
          <w:lang w:eastAsia="zh-CN"/>
        </w:rPr>
        <w:t>NCSG</w:t>
      </w:r>
      <w:r>
        <w:rPr>
          <w:rFonts w:hint="eastAsia" w:ascii="Times New Roman" w:hAnsi="Times New Roman" w:cs="Times New Roman"/>
          <w:b/>
          <w:bCs w:val="0"/>
          <w:i/>
          <w:iCs w:val="0"/>
          <w:sz w:val="20"/>
          <w:szCs w:val="20"/>
          <w:lang w:val="en-US" w:eastAsia="zh-CN"/>
        </w:rPr>
        <w:t xml:space="preserve"> </w:t>
      </w:r>
      <w:r>
        <w:rPr>
          <w:rFonts w:hint="eastAsia" w:ascii="Times New Roman" w:hAnsi="Times New Roman" w:eastAsia="等线"/>
          <w:b/>
          <w:bCs w:val="0"/>
          <w:i/>
          <w:iCs w:val="0"/>
          <w:sz w:val="20"/>
          <w:szCs w:val="20"/>
          <w:lang w:val="en-US" w:eastAsia="zh-CN"/>
        </w:rPr>
        <w:t xml:space="preserve">or </w:t>
      </w:r>
      <w:r>
        <w:rPr>
          <w:rFonts w:hint="eastAsia" w:ascii="Times New Roman" w:hAnsi="Times New Roman" w:cs="Times New Roman"/>
          <w:b/>
          <w:bCs w:val="0"/>
          <w:i/>
          <w:iCs w:val="0"/>
          <w:sz w:val="20"/>
          <w:szCs w:val="20"/>
          <w:lang w:val="en-US" w:eastAsia="zh-CN"/>
        </w:rPr>
        <w:t>NeedForGap can be used as starting point</w:t>
      </w:r>
      <w:r>
        <w:rPr>
          <w:rFonts w:hint="eastAsia" w:ascii="Times New Roman" w:hAnsi="Times New Roman" w:eastAsia="等线"/>
          <w:b/>
          <w:bCs w:val="0"/>
          <w:i/>
          <w:iCs w:val="0"/>
          <w:sz w:val="20"/>
          <w:szCs w:val="20"/>
          <w:lang w:val="en-US" w:eastAsia="zh-CN"/>
        </w:rPr>
        <w:t>.</w:t>
      </w:r>
    </w:p>
    <w:p w14:paraId="2C5ABFD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 related consideration is about interruption. For measurement without gap, no matter </w:t>
      </w:r>
      <w:r>
        <w:rPr>
          <w:rFonts w:hint="default" w:ascii="Times New Roman" w:hAnsi="Times New Roman" w:cs="Times New Roman"/>
          <w:i/>
          <w:iCs/>
          <w:sz w:val="20"/>
          <w:szCs w:val="20"/>
          <w:lang w:eastAsia="zh-CN"/>
        </w:rPr>
        <w:t>NeedForGapNCSG</w:t>
      </w:r>
      <w:r>
        <w:rPr>
          <w:rFonts w:hint="eastAsia" w:ascii="Times New Roman" w:hAnsi="Times New Roman" w:cs="Times New Roman"/>
          <w:i/>
          <w:iCs/>
          <w:sz w:val="20"/>
          <w:szCs w:val="20"/>
          <w:lang w:val="en-US" w:eastAsia="zh-CN"/>
        </w:rPr>
        <w:t xml:space="preserve"> </w:t>
      </w:r>
      <w:r>
        <w:rPr>
          <w:rFonts w:hint="eastAsia" w:ascii="Times New Roman" w:hAnsi="Times New Roman" w:eastAsia="等线"/>
          <w:bCs/>
          <w:iCs/>
          <w:sz w:val="20"/>
          <w:szCs w:val="20"/>
          <w:lang w:val="en-US" w:eastAsia="zh-CN"/>
        </w:rPr>
        <w:t xml:space="preserve">or </w:t>
      </w:r>
      <w:r>
        <w:rPr>
          <w:rFonts w:hint="eastAsia" w:ascii="Times New Roman" w:hAnsi="Times New Roman" w:cs="Times New Roman"/>
          <w:i/>
          <w:iCs/>
          <w:sz w:val="20"/>
          <w:szCs w:val="20"/>
          <w:lang w:val="en-US" w:eastAsia="zh-CN"/>
        </w:rPr>
        <w:t>NeedForGap-InfoNR</w:t>
      </w:r>
      <w:r>
        <w:rPr>
          <w:rFonts w:hint="eastAsia" w:ascii="Times New Roman" w:hAnsi="Times New Roman" w:eastAsia="等线"/>
          <w:bCs/>
          <w:iCs/>
          <w:sz w:val="20"/>
          <w:szCs w:val="20"/>
          <w:lang w:val="en-US" w:eastAsia="zh-CN"/>
        </w:rPr>
        <w:t>, there is UE capability about whether there is interruption. Even though UE capability is introduced, the common case is assuming interruption is needed. On one hand, no measurement gap but with interruption will impact throughput. On the other hand, with or without interruption complex the specification, as duplicated as following as one example.</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076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7346733">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TS 38.133 </w:t>
            </w:r>
          </w:p>
          <w:p w14:paraId="7B904394">
            <w:pPr>
              <w:rPr>
                <w:rFonts w:hint="default" w:ascii="Times New Roman" w:hAnsi="Times New Roman" w:cs="Times New Roman"/>
                <w:sz w:val="20"/>
                <w:szCs w:val="20"/>
              </w:rPr>
            </w:pPr>
            <w:r>
              <w:rPr>
                <w:rFonts w:hint="default" w:ascii="Times New Roman" w:hAnsi="Times New Roman" w:cs="Times New Roman"/>
                <w:sz w:val="20"/>
                <w:szCs w:val="20"/>
              </w:rPr>
              <w:t>The inter-frequency measurement requirements in clause 9.3.4 and clause 9.3.5 applies for the following scenarios:</w:t>
            </w:r>
          </w:p>
          <w:p w14:paraId="687D8D48">
            <w:pPr>
              <w:pStyle w:val="19"/>
              <w:ind w:left="567"/>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 measurement gap</w:t>
            </w:r>
            <w:r>
              <w:rPr>
                <w:rFonts w:hint="default" w:ascii="Times New Roman" w:hAnsi="Times New Roman" w:cs="Times New Roman"/>
                <w:sz w:val="20"/>
                <w:szCs w:val="20"/>
              </w:rPr>
              <w:t>.</w:t>
            </w:r>
          </w:p>
          <w:p w14:paraId="33A20190">
            <w:pPr>
              <w:pStyle w:val="19"/>
              <w:ind w:left="56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without measurement gap</w:t>
            </w:r>
            <w:r>
              <w:rPr>
                <w:rFonts w:hint="default" w:ascii="Times New Roman" w:hAnsi="Times New Roman" w:cs="Times New Roman"/>
                <w:sz w:val="20"/>
                <w:szCs w:val="20"/>
              </w:rPr>
              <w:t xml:space="preserve"> for UE capable of </w:t>
            </w:r>
            <w:r>
              <w:rPr>
                <w:rFonts w:hint="default" w:ascii="Times New Roman" w:hAnsi="Times New Roman" w:cs="Times New Roman"/>
                <w:i/>
                <w:iCs/>
                <w:sz w:val="20"/>
                <w:szCs w:val="20"/>
              </w:rPr>
              <w:t>interFrequencyMeas-NoGap</w:t>
            </w:r>
            <w:r>
              <w:rPr>
                <w:rFonts w:hint="default" w:ascii="Times New Roman" w:hAnsi="Times New Roman" w:cs="Times New Roman"/>
                <w:sz w:val="20"/>
                <w:szCs w:val="20"/>
              </w:rPr>
              <w:t>, when</w:t>
            </w:r>
          </w:p>
          <w:p w14:paraId="6922B532">
            <w:pPr>
              <w:pStyle w:val="20"/>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all of the SMTC occasions of this inter-frequency measurement object are overlapped with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or</w:t>
            </w:r>
          </w:p>
          <w:p w14:paraId="738E2EBB">
            <w:pPr>
              <w:pStyle w:val="20"/>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part of the SMTC occasions of this inter-frequency measurement object are overlapped with the associated measurement gap and all the SMTC occasions of this inter-frequency measurement object are overlapped with the union of concurrent measurement gaps, or</w:t>
            </w:r>
          </w:p>
          <w:p w14:paraId="30A3A788">
            <w:pPr>
              <w:pStyle w:val="20"/>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part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rPr>
              <w:t xml:space="preserve">concurrent measurement gaps </w:t>
            </w:r>
            <w:r>
              <w:rPr>
                <w:rFonts w:hint="default" w:ascii="Times New Roman" w:hAnsi="Times New Roman" w:cs="Times New Roman"/>
                <w:sz w:val="20"/>
                <w:szCs w:val="20"/>
                <w:lang w:eastAsia="zh-CN"/>
              </w:rPr>
              <w:t xml:space="preserve">and </w:t>
            </w:r>
            <w:r>
              <w:rPr>
                <w:rFonts w:hint="default" w:ascii="Times New Roman" w:hAnsi="Times New Roman" w:cs="Times New Roman"/>
                <w:sz w:val="20"/>
                <w:szCs w:val="20"/>
                <w:lang w:eastAsia="zh-TW"/>
              </w:rPr>
              <w:t xml:space="preserve">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not configured by the Network</w:t>
            </w:r>
            <w:r>
              <w:rPr>
                <w:rFonts w:hint="default" w:ascii="Times New Roman" w:hAnsi="Times New Roman" w:cs="Times New Roman"/>
                <w:sz w:val="20"/>
                <w:szCs w:val="20"/>
                <w:lang w:eastAsia="zh-CN"/>
              </w:rPr>
              <w:t>.</w:t>
            </w:r>
          </w:p>
          <w:p w14:paraId="62CE5B2C">
            <w:pPr>
              <w:pStyle w:val="19"/>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part of the SMTC occasions of this </w:t>
            </w:r>
            <w:r>
              <w:rPr>
                <w:rFonts w:hint="default" w:ascii="Times New Roman" w:hAnsi="Times New Roman" w:cs="Times New Roman"/>
                <w:sz w:val="20"/>
                <w:szCs w:val="20"/>
                <w:lang w:eastAsia="zh-CN"/>
              </w:rPr>
              <w:t>inter</w:t>
            </w:r>
            <w:r>
              <w:rPr>
                <w:rFonts w:hint="default" w:ascii="Times New Roman" w:hAnsi="Times New Roman" w:cs="Times New Roman"/>
                <w:sz w:val="20"/>
                <w:szCs w:val="20"/>
              </w:rPr>
              <w:t xml:space="preserve">-frequency measurement object are overlapped with the associated measurement gap and all the SMTC occasions of this </w:t>
            </w:r>
            <w:r>
              <w:rPr>
                <w:rFonts w:hint="default" w:ascii="Times New Roman" w:hAnsi="Times New Roman" w:cs="Times New Roman"/>
                <w:sz w:val="20"/>
                <w:szCs w:val="20"/>
                <w:lang w:eastAsia="zh-CN"/>
              </w:rPr>
              <w:t>inter</w:t>
            </w:r>
            <w:r>
              <w:rPr>
                <w:rFonts w:hint="default" w:ascii="Times New Roman" w:hAnsi="Times New Roman" w:cs="Times New Roman"/>
                <w:sz w:val="20"/>
                <w:szCs w:val="20"/>
              </w:rPr>
              <w:t>-frequency measurement object are overlapped with the union of concurrent measurement gaps or the union of concurrent measurement gaps and MUSIM gaps if MUSIM gaps are configured.</w:t>
            </w:r>
          </w:p>
          <w:p w14:paraId="0700B7FC">
            <w:pPr>
              <w:pStyle w:val="20"/>
              <w:ind w:left="850"/>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no requirement applies if </w:t>
            </w:r>
            <w:r>
              <w:rPr>
                <w:rFonts w:hint="default" w:ascii="Times New Roman" w:hAnsi="Times New Roman" w:cs="Times New Roman"/>
                <w:sz w:val="20"/>
                <w:szCs w:val="20"/>
                <w:lang w:eastAsia="zh-CN"/>
              </w:rPr>
              <w:t xml:space="preserve">all of the SMTC occasions of this inter-frequency measurement object are overlapped with </w:t>
            </w:r>
            <w:r>
              <w:rPr>
                <w:rFonts w:hint="default" w:ascii="Times New Roman" w:hAnsi="Times New Roman" w:cs="Times New Roman"/>
                <w:sz w:val="20"/>
                <w:szCs w:val="20"/>
              </w:rPr>
              <w:t>MUSIM gaps if MUSIM gaps are configured.</w:t>
            </w:r>
          </w:p>
          <w:p w14:paraId="6C49F328">
            <w:pPr>
              <w:pStyle w:val="19"/>
              <w:ind w:left="56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without measurement gap</w:t>
            </w:r>
            <w:r>
              <w:rPr>
                <w:rFonts w:hint="default" w:ascii="Times New Roman" w:hAnsi="Times New Roman" w:cs="Times New Roman"/>
                <w:sz w:val="20"/>
                <w:szCs w:val="20"/>
              </w:rPr>
              <w:t xml:space="preserve"> for UE capable of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rPr>
              <w:t>, when</w:t>
            </w:r>
          </w:p>
          <w:p w14:paraId="11E6D7BC">
            <w:pPr>
              <w:ind w:left="850" w:hanging="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all of the SMTC occasions of this inter-frequency measurement object are overlapped with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lang w:eastAsia="en-GB"/>
              </w:rPr>
              <w:t xml:space="preserve">concurrent measurement gaps for </w:t>
            </w:r>
            <w:r>
              <w:rPr>
                <w:rFonts w:hint="default" w:ascii="Times New Roman" w:hAnsi="Times New Roman" w:cs="Times New Roman"/>
                <w:sz w:val="20"/>
                <w:szCs w:val="20"/>
                <w:lang w:eastAsia="zh-CN"/>
              </w:rPr>
              <w:t>the UE indicat</w:t>
            </w:r>
            <w:r>
              <w:rPr>
                <w:rFonts w:hint="default" w:ascii="Times New Roman" w:hAnsi="Times New Roman" w:cs="Times New Roman"/>
                <w:sz w:val="20"/>
                <w:szCs w:val="20"/>
                <w:lang w:val="en-US" w:eastAsia="zh-CN"/>
              </w:rPr>
              <w:t>ing</w:t>
            </w:r>
            <w:r>
              <w:rPr>
                <w:rFonts w:hint="default" w:ascii="Times New Roman" w:hAnsi="Times New Roman" w:cs="Times New Roman"/>
                <w:sz w:val="20"/>
                <w:szCs w:val="20"/>
                <w:lang w:eastAsia="zh-CN"/>
              </w:rPr>
              <w:t xml:space="preserve">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and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 or ‘</w:t>
            </w:r>
            <w:r>
              <w:rPr>
                <w:rFonts w:hint="default" w:ascii="Times New Roman" w:hAnsi="Times New Roman" w:cs="Times New Roman"/>
                <w:i/>
                <w:iCs/>
                <w:sz w:val="20"/>
                <w:szCs w:val="20"/>
                <w:lang w:eastAsia="zh-CN"/>
              </w:rPr>
              <w:t>no-gap-no-interruption</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i/>
                <w:sz w:val="20"/>
                <w:szCs w:val="20"/>
                <w:lang w:val="en-US" w:eastAsia="zh-CN"/>
              </w:rPr>
              <w:t xml:space="preserve"> </w:t>
            </w:r>
            <w:r>
              <w:rPr>
                <w:rFonts w:hint="default" w:ascii="Times New Roman" w:hAnsi="Times New Roman" w:cs="Times New Roman"/>
                <w:sz w:val="20"/>
                <w:szCs w:val="20"/>
                <w:lang w:eastAsia="zh-CN"/>
              </w:rPr>
              <w:t>for the inter-frequency measurement, or</w:t>
            </w:r>
          </w:p>
          <w:p w14:paraId="2D3D1A6D">
            <w:pPr>
              <w:pStyle w:val="20"/>
              <w:ind w:left="850"/>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part of the SMTC occasions of this inter-frequency measurement object are overlapped with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lang w:eastAsia="en-GB"/>
              </w:rPr>
              <w:t xml:space="preserve">concurrent measurement gaps 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 xml:space="preserve">NeedForGapsInfoNR </w:t>
            </w:r>
            <w:r>
              <w:rPr>
                <w:rFonts w:hint="default" w:ascii="Times New Roman" w:hAnsi="Times New Roman" w:cs="Times New Roman"/>
                <w:sz w:val="20"/>
                <w:szCs w:val="20"/>
                <w:lang w:eastAsia="zh-CN"/>
              </w:rPr>
              <w:t>and ‘</w:t>
            </w:r>
            <w:r>
              <w:rPr>
                <w:rFonts w:hint="default" w:ascii="Times New Roman" w:hAnsi="Times New Roman" w:cs="Times New Roman"/>
                <w:i/>
                <w:iCs/>
                <w:sz w:val="20"/>
                <w:szCs w:val="20"/>
                <w:lang w:eastAsia="zh-CN"/>
              </w:rPr>
              <w:t>no-gap-</w:t>
            </w:r>
            <w:r>
              <w:rPr>
                <w:rFonts w:hint="default" w:ascii="Times New Roman" w:hAnsi="Times New Roman" w:cs="Times New Roman"/>
                <w:i/>
                <w:iCs/>
                <w:sz w:val="20"/>
                <w:szCs w:val="20"/>
                <w:lang w:val="en-US" w:eastAsia="zh-CN"/>
              </w:rPr>
              <w:t>with</w:t>
            </w:r>
            <w:r>
              <w:rPr>
                <w:rFonts w:hint="default" w:ascii="Times New Roman" w:hAnsi="Times New Roman" w:cs="Times New Roman"/>
                <w:i/>
                <w:iCs/>
                <w:sz w:val="20"/>
                <w:szCs w:val="20"/>
                <w:lang w:eastAsia="zh-CN"/>
              </w:rPr>
              <w:t>-interruption</w:t>
            </w:r>
            <w:r>
              <w:rPr>
                <w:rFonts w:hint="default" w:ascii="Times New Roman" w:hAnsi="Times New Roman" w:cs="Times New Roman"/>
                <w:sz w:val="20"/>
                <w:szCs w:val="20"/>
                <w:lang w:eastAsia="zh-CN"/>
              </w:rPr>
              <w:t xml:space="preserve">’ 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w:t>
            </w:r>
          </w:p>
          <w:p w14:paraId="1C2B930E">
            <w:pPr>
              <w:keepNext/>
              <w:keepLines/>
              <w:rPr>
                <w:rFonts w:hint="default" w:ascii="Times New Roman" w:hAnsi="Times New Roman" w:cs="Times New Roman"/>
                <w:sz w:val="20"/>
                <w:szCs w:val="20"/>
              </w:rPr>
            </w:pPr>
            <w:r>
              <w:rPr>
                <w:rFonts w:hint="default" w:ascii="Times New Roman" w:hAnsi="Times New Roman" w:cs="Times New Roman"/>
                <w:sz w:val="20"/>
                <w:szCs w:val="20"/>
              </w:rPr>
              <w:t>The inter-frequency measurement requirements in clause 9.3.9 applies for the following scenarios:</w:t>
            </w:r>
          </w:p>
          <w:p w14:paraId="4EB53030">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SSB-based inter-frequency measurement with no measurement gap, when 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if</w:t>
            </w:r>
            <w:r>
              <w:rPr>
                <w:rFonts w:hint="default" w:ascii="Times New Roman" w:hAnsi="Times New Roman" w:cs="Times New Roman"/>
                <w:sz w:val="20"/>
                <w:szCs w:val="20"/>
                <w:lang w:eastAsia="zh-CN"/>
              </w:rPr>
              <w:t xml:space="preserve"> UE </w:t>
            </w:r>
            <w:r>
              <w:rPr>
                <w:rFonts w:hint="default" w:ascii="Times New Roman" w:hAnsi="Times New Roman" w:cs="Times New Roman"/>
                <w:sz w:val="20"/>
                <w:szCs w:val="20"/>
                <w:lang w:eastAsia="zh-TW"/>
              </w:rPr>
              <w:t xml:space="preserve">supports </w:t>
            </w:r>
            <w:r>
              <w:rPr>
                <w:rFonts w:hint="default" w:ascii="Times New Roman" w:hAnsi="Times New Roman" w:cs="Times New Roman"/>
                <w:i/>
                <w:sz w:val="20"/>
                <w:szCs w:val="20"/>
                <w:lang w:eastAsia="zh-TW"/>
              </w:rPr>
              <w:t>interFrequencyMeas-NoGap-r16</w:t>
            </w:r>
            <w:r>
              <w:rPr>
                <w:rFonts w:hint="default" w:ascii="Times New Roman" w:hAnsi="Times New Roman" w:cs="Times New Roman"/>
                <w:sz w:val="20"/>
                <w:szCs w:val="20"/>
                <w:lang w:eastAsia="zh-TW"/>
              </w:rPr>
              <w:t xml:space="preserve"> and 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configured by the Network</w:t>
            </w:r>
            <w:r>
              <w:rPr>
                <w:rFonts w:hint="default" w:ascii="Times New Roman" w:hAnsi="Times New Roman" w:cs="Times New Roman"/>
                <w:sz w:val="20"/>
                <w:szCs w:val="20"/>
                <w:lang w:eastAsia="zh-CN"/>
              </w:rPr>
              <w:t>.</w:t>
            </w:r>
          </w:p>
          <w:p w14:paraId="180692CF">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SSB-based inter-frequency measurement with no measurement gap, when part of the SMTC occasions of this inter-frequency measurement object are overlapped by the measurement gap or the union of concurrent measurement gaps, if UE supports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and the flag </w:t>
            </w:r>
            <w:r>
              <w:rPr>
                <w:rFonts w:hint="default" w:ascii="Times New Roman" w:hAnsi="Times New Roman" w:cs="Times New Roman"/>
                <w:i/>
                <w:iCs/>
                <w:sz w:val="20"/>
                <w:szCs w:val="20"/>
                <w:lang w:eastAsia="zh-CN"/>
              </w:rPr>
              <w:t>interFrequencyConfig-NoGap-r16</w:t>
            </w:r>
            <w:r>
              <w:rPr>
                <w:rFonts w:hint="default" w:ascii="Times New Roman" w:hAnsi="Times New Roman" w:cs="Times New Roman"/>
                <w:sz w:val="20"/>
                <w:szCs w:val="20"/>
                <w:lang w:eastAsia="zh-CN"/>
              </w:rPr>
              <w:t xml:space="preserve"> is configured by the Network.</w:t>
            </w:r>
          </w:p>
          <w:p w14:paraId="35D712EC">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SSB-based inter-frequency measurement with no measurement gap, when 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 or MUSIM gaps if MUSIM gaps are configured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if</w:t>
            </w:r>
            <w:r>
              <w:rPr>
                <w:rFonts w:hint="default" w:ascii="Times New Roman" w:hAnsi="Times New Roman" w:cs="Times New Roman"/>
                <w:sz w:val="20"/>
                <w:szCs w:val="20"/>
                <w:lang w:eastAsia="zh-CN"/>
              </w:rPr>
              <w:t xml:space="preserve"> UE </w:t>
            </w:r>
            <w:r>
              <w:rPr>
                <w:rFonts w:hint="default" w:ascii="Times New Roman" w:hAnsi="Times New Roman" w:cs="Times New Roman"/>
                <w:sz w:val="20"/>
                <w:szCs w:val="20"/>
                <w:lang w:eastAsia="zh-TW"/>
              </w:rPr>
              <w:t xml:space="preserve">supports </w:t>
            </w:r>
            <w:r>
              <w:rPr>
                <w:rFonts w:hint="default" w:ascii="Times New Roman" w:hAnsi="Times New Roman" w:cs="Times New Roman"/>
                <w:i/>
                <w:sz w:val="20"/>
                <w:szCs w:val="20"/>
                <w:lang w:eastAsia="zh-TW"/>
              </w:rPr>
              <w:t>interFrequencyMeas-NoGap-r16</w:t>
            </w:r>
            <w:r>
              <w:rPr>
                <w:rFonts w:hint="default" w:ascii="Times New Roman" w:hAnsi="Times New Roman" w:cs="Times New Roman"/>
                <w:sz w:val="20"/>
                <w:szCs w:val="20"/>
                <w:lang w:eastAsia="zh-TW"/>
              </w:rPr>
              <w:t xml:space="preserve"> and 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configured by the Network</w:t>
            </w:r>
            <w:r>
              <w:rPr>
                <w:rFonts w:hint="default" w:ascii="Times New Roman" w:hAnsi="Times New Roman" w:cs="Times New Roman"/>
                <w:sz w:val="20"/>
                <w:szCs w:val="20"/>
                <w:lang w:eastAsia="zh-CN"/>
              </w:rPr>
              <w:t>.</w:t>
            </w:r>
          </w:p>
          <w:p w14:paraId="469AA5CA">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SSB-based inter-frequency measurement with no measurement gap, when part of the SMTC occasions of this inter-frequency measurement object are overlapped by the measurement gap or the union of concurrent measurement gaps or MUSIM gaps if MUSIM gaps are configured, if UE supports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and the flag </w:t>
            </w:r>
            <w:r>
              <w:rPr>
                <w:rFonts w:hint="default" w:ascii="Times New Roman" w:hAnsi="Times New Roman" w:cs="Times New Roman"/>
                <w:i/>
                <w:iCs/>
                <w:sz w:val="20"/>
                <w:szCs w:val="20"/>
                <w:lang w:eastAsia="zh-CN"/>
              </w:rPr>
              <w:t>interFrequencyConfig-NoGap-r16</w:t>
            </w:r>
            <w:r>
              <w:rPr>
                <w:rFonts w:hint="default" w:ascii="Times New Roman" w:hAnsi="Times New Roman" w:cs="Times New Roman"/>
                <w:sz w:val="20"/>
                <w:szCs w:val="20"/>
                <w:lang w:eastAsia="zh-CN"/>
              </w:rPr>
              <w:t xml:space="preserve"> is configured by the Network.</w:t>
            </w:r>
          </w:p>
          <w:p w14:paraId="4F3ABBDB">
            <w:pPr>
              <w:pStyle w:val="19"/>
              <w:ind w:left="567"/>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for UE indicating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rPr>
              <w:t>, when</w:t>
            </w:r>
          </w:p>
          <w:p w14:paraId="49893EC8">
            <w:pPr>
              <w:pStyle w:val="21"/>
              <w:ind w:left="85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no-gap-with-interruption or no-gap-no-interruption via </w:t>
            </w:r>
            <w:r>
              <w:rPr>
                <w:rFonts w:hint="default" w:ascii="Times New Roman" w:hAnsi="Times New Roman" w:cs="Times New Roman"/>
                <w:i/>
                <w:sz w:val="20"/>
                <w:szCs w:val="20"/>
                <w:lang w:eastAsia="zh-CN"/>
              </w:rPr>
              <w:t>NeedForInterruptionInfoNR</w:t>
            </w:r>
            <w:r>
              <w:rPr>
                <w:rFonts w:hint="default" w:ascii="Times New Roman" w:hAnsi="Times New Roman" w:cs="Times New Roman"/>
                <w:sz w:val="20"/>
                <w:szCs w:val="20"/>
                <w:lang w:eastAsia="zh-CN"/>
              </w:rPr>
              <w:t xml:space="preserve"> for the inter-frequency measurement.</w:t>
            </w:r>
          </w:p>
          <w:p w14:paraId="59BC7BA7">
            <w:pPr>
              <w:pStyle w:val="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part of the SMTC occasions of this inter-frequency measurement object are overlapped by the measurement gap or the union of concurrent measurement gaps,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no-gap-no-interruption via </w:t>
            </w:r>
            <w:r>
              <w:rPr>
                <w:rFonts w:hint="default" w:ascii="Times New Roman" w:hAnsi="Times New Roman" w:cs="Times New Roman"/>
                <w:i/>
                <w:sz w:val="20"/>
                <w:szCs w:val="20"/>
                <w:lang w:eastAsia="zh-CN"/>
              </w:rPr>
              <w:t xml:space="preserve">NeedForInterruptionInfoNR </w:t>
            </w:r>
            <w:r>
              <w:rPr>
                <w:rFonts w:hint="default" w:ascii="Times New Roman" w:hAnsi="Times New Roman" w:cs="Times New Roman"/>
                <w:sz w:val="20"/>
                <w:szCs w:val="20"/>
                <w:lang w:eastAsia="zh-CN"/>
              </w:rPr>
              <w:t>for the inter-frequency measurement.</w:t>
            </w:r>
          </w:p>
          <w:p w14:paraId="22138A49">
            <w:pPr>
              <w:pStyle w:val="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none of the SMTC occasions of this inter-frequency measurement object are overlapped by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lang w:eastAsia="en-GB"/>
              </w:rPr>
              <w:t>concurrent measurement gaps or MUSIM gaps if MUSIM gaps are configured,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eastAsia="en-GB"/>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iCs/>
                <w:sz w:val="20"/>
                <w:szCs w:val="20"/>
                <w:lang w:val="en-US" w:eastAsia="zh-CN"/>
              </w:rPr>
              <w:t>NeedForGap-InfoNR</w:t>
            </w:r>
            <w:r>
              <w:rPr>
                <w:rFonts w:hint="default" w:ascii="Times New Roman" w:hAnsi="Times New Roman" w:cs="Times New Roman"/>
                <w:sz w:val="20"/>
                <w:szCs w:val="20"/>
                <w:lang w:eastAsia="zh-CN"/>
              </w:rPr>
              <w:t xml:space="preserve"> and ‘</w:t>
            </w:r>
            <w:r>
              <w:rPr>
                <w:rFonts w:hint="default" w:ascii="Times New Roman" w:hAnsi="Times New Roman" w:cs="Times New Roman"/>
                <w:i/>
                <w:sz w:val="20"/>
                <w:szCs w:val="20"/>
                <w:lang w:eastAsia="zh-CN"/>
              </w:rPr>
              <w:t>no-gap-with-interruption</w:t>
            </w:r>
            <w:r>
              <w:rPr>
                <w:rFonts w:hint="default" w:ascii="Times New Roman" w:hAnsi="Times New Roman" w:cs="Times New Roman"/>
                <w:sz w:val="20"/>
                <w:szCs w:val="20"/>
                <w:lang w:eastAsia="zh-CN"/>
              </w:rPr>
              <w:t>’ or ‘</w:t>
            </w:r>
            <w:r>
              <w:rPr>
                <w:rFonts w:hint="default" w:ascii="Times New Roman" w:hAnsi="Times New Roman" w:cs="Times New Roman"/>
                <w:i/>
                <w:sz w:val="20"/>
                <w:szCs w:val="20"/>
                <w:lang w:eastAsia="zh-CN"/>
              </w:rPr>
              <w:t>no-gap-no-interruption</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w:t>
            </w:r>
          </w:p>
          <w:p w14:paraId="1C2DBF60">
            <w:pPr>
              <w:pStyle w:val="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part of the SMTC occasions of this inter-frequency measurement object are overlapped by the measurement gap or the union of concurrent measurement gaps or MUSIM gaps if MUSIM gaps are configured,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iCs/>
                <w:sz w:val="20"/>
                <w:szCs w:val="20"/>
                <w:lang w:eastAsia="zh-CN"/>
              </w:rPr>
              <w:t>NeedForGap-InfoNR</w:t>
            </w:r>
            <w:r>
              <w:rPr>
                <w:rFonts w:hint="default" w:ascii="Times New Roman" w:hAnsi="Times New Roman" w:cs="Times New Roman"/>
                <w:sz w:val="20"/>
                <w:szCs w:val="20"/>
                <w:lang w:eastAsia="zh-CN"/>
              </w:rPr>
              <w:t xml:space="preserve"> for the inter-frequency measurement.</w:t>
            </w:r>
          </w:p>
          <w:p w14:paraId="7BF1CA58">
            <w:pPr>
              <w:spacing w:after="180" w:line="240" w:lineRule="exact"/>
              <w:rPr>
                <w:rFonts w:hint="default" w:ascii="Times New Roman" w:hAnsi="Times New Roman" w:eastAsia="等线" w:cs="Times New Roman"/>
                <w:bCs/>
                <w:iCs/>
                <w:sz w:val="20"/>
                <w:szCs w:val="20"/>
                <w:vertAlign w:val="baseline"/>
                <w:lang w:val="en-US" w:eastAsia="zh-CN"/>
              </w:rPr>
            </w:pPr>
          </w:p>
        </w:tc>
      </w:tr>
    </w:tbl>
    <w:p w14:paraId="7A05CFE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p w14:paraId="52D4461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our view, this is about UE implementation. We are not sure whether it is good to have the same assumption as 5G, since it is expected 6GR is enhanced compared with NR. For 6GR, spectrum efficiency improvement is one of the key considerations of 6GR study, it is preferred not to consider interruption for measurement without gap, which is beneficial for throughput improvement, and also simplify RAN4 discussion and requirements definition.    </w:t>
      </w:r>
    </w:p>
    <w:p w14:paraId="1B66061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6GR, it is proposed to discuss whether interruption are still needed for measurement without gap. Could we assume no interruption for gap-less measurement as a basic feature. </w:t>
      </w:r>
    </w:p>
    <w:p w14:paraId="1BBCC91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important feature is parallel measurement. For NTN, parallel measurement is supported. In detail, </w:t>
      </w:r>
      <w:r>
        <w:rPr>
          <w:rFonts w:hint="eastAsia" w:ascii="Times New Roman" w:hAnsi="Times New Roman" w:eastAsia="等线"/>
          <w:bCs/>
          <w:i/>
          <w:iCs w:val="0"/>
          <w:sz w:val="20"/>
          <w:szCs w:val="20"/>
          <w:lang w:val="en-US" w:eastAsia="zh-CN"/>
        </w:rPr>
        <w:t>parallelSMTC-r17</w:t>
      </w:r>
      <w:r>
        <w:rPr>
          <w:rFonts w:hint="eastAsia" w:ascii="Times New Roman" w:hAnsi="Times New Roman" w:eastAsia="等线"/>
          <w:bCs/>
          <w:iCs/>
          <w:sz w:val="20"/>
          <w:szCs w:val="20"/>
          <w:lang w:val="en-US" w:eastAsia="zh-CN"/>
        </w:rPr>
        <w:t xml:space="preserve"> (Parallel measurements on multiple SMTC-s for a single frequency carrier), </w:t>
      </w:r>
      <w:r>
        <w:rPr>
          <w:rFonts w:hint="eastAsia" w:ascii="Times New Roman" w:hAnsi="Times New Roman" w:eastAsia="等线"/>
          <w:bCs/>
          <w:i/>
          <w:iCs w:val="0"/>
          <w:sz w:val="20"/>
          <w:szCs w:val="20"/>
          <w:lang w:val="en-US" w:eastAsia="zh-CN"/>
        </w:rPr>
        <w:t>parallelMeasurementGap-r17</w:t>
      </w:r>
      <w:r>
        <w:rPr>
          <w:rFonts w:hint="eastAsia" w:ascii="Times New Roman" w:hAnsi="Times New Roman" w:eastAsia="等线"/>
          <w:bCs/>
          <w:iCs/>
          <w:sz w:val="20"/>
          <w:szCs w:val="20"/>
          <w:lang w:val="en-US" w:eastAsia="zh-CN"/>
        </w:rPr>
        <w:t xml:space="preserve"> (Parallel measurements with multiple measurement gaps), </w:t>
      </w:r>
      <w:r>
        <w:rPr>
          <w:rFonts w:hint="eastAsia" w:ascii="Times New Roman" w:hAnsi="Times New Roman" w:eastAsia="等线"/>
          <w:bCs/>
          <w:i/>
          <w:iCs w:val="0"/>
          <w:sz w:val="20"/>
          <w:szCs w:val="20"/>
          <w:lang w:val="en-US" w:eastAsia="zh-CN"/>
        </w:rPr>
        <w:t>parallelMeasurementWithoutRestriction-r17</w:t>
      </w:r>
      <w:r>
        <w:rPr>
          <w:rFonts w:hint="eastAsia" w:ascii="Times New Roman" w:hAnsi="Times New Roman" w:eastAsia="等线"/>
          <w:bCs/>
          <w:iCs/>
          <w:sz w:val="20"/>
          <w:szCs w:val="20"/>
          <w:lang w:val="en-US" w:eastAsia="zh-CN"/>
        </w:rPr>
        <w:t xml:space="preserve"> (Parallel measurements on cells belonging to a different NGSO satellite than a serving satellite without scheduling restrictions on normal operations with the serving cell), and </w:t>
      </w:r>
      <w:r>
        <w:rPr>
          <w:rFonts w:hint="eastAsia" w:ascii="Times New Roman" w:hAnsi="Times New Roman" w:eastAsia="等线"/>
          <w:bCs/>
          <w:i/>
          <w:iCs w:val="0"/>
          <w:sz w:val="20"/>
          <w:szCs w:val="20"/>
          <w:lang w:val="en-US" w:eastAsia="zh-CN"/>
        </w:rPr>
        <w:t>maxNumber-NGSO-SatellitesWithinOneSMTC-r17</w:t>
      </w:r>
      <w:r>
        <w:rPr>
          <w:rFonts w:hint="eastAsia" w:ascii="Times New Roman" w:hAnsi="Times New Roman" w:eastAsia="等线"/>
          <w:bCs/>
          <w:iCs/>
          <w:sz w:val="20"/>
          <w:szCs w:val="20"/>
          <w:lang w:val="en-US" w:eastAsia="zh-CN"/>
        </w:rPr>
        <w:t xml:space="preserve"> (Parallel measurements on multiple NGSO satellites within a SMTC) are considered. Taking </w:t>
      </w:r>
      <w:r>
        <w:rPr>
          <w:rFonts w:hint="eastAsia" w:ascii="Times New Roman" w:hAnsi="Times New Roman" w:eastAsia="等线"/>
          <w:bCs/>
          <w:i/>
          <w:iCs w:val="0"/>
          <w:sz w:val="20"/>
          <w:szCs w:val="20"/>
          <w:lang w:val="en-US" w:eastAsia="zh-CN"/>
        </w:rPr>
        <w:t>parallelMeasurementGap-r17</w:t>
      </w:r>
      <w:r>
        <w:rPr>
          <w:rFonts w:hint="eastAsia" w:ascii="Times New Roman" w:hAnsi="Times New Roman" w:eastAsia="等线"/>
          <w:bCs/>
          <w:iCs/>
          <w:sz w:val="20"/>
          <w:szCs w:val="20"/>
          <w:lang w:val="en-US" w:eastAsia="zh-CN"/>
        </w:rPr>
        <w:t xml:space="preserve"> (Parallel measurements with multiple measurement gaps) as an example, 2 is mandatory and 4 is optional. These parallel measurement for NTN need to be inherited from NR to 6GR.</w:t>
      </w:r>
    </w:p>
    <w:p w14:paraId="7EE03C1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TN, concurrent measurement gap is introduced in Rel-17. Concurrent gaps enable different gap configurations for different MOs, which could avoid the resource waste due to configure one MG with long MGRP and/or short MGRP try to cover as much MOs as possible. Concurrent gaps is also helpful in reducing measurement delay. It is proposed to consider concurrent measurement gap from 6G day-1.</w:t>
      </w:r>
    </w:p>
    <w:p w14:paraId="231F15A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However, parallel measurement for the colliding cases is not supported. Two gaps are considered as colliding when there is fully or partially overlapping between two gaps or no overlapping but the distance between two gaps is less than 4ms. For the colliding case, only one gap is kept based on priority, the other gap is dropped. It is proposed to support Parallel measurement for colliding gaps. On one hand, it is beneficial for both throughput and measurement delay reduction. On the other hand, this issue is also about searcher assumptions. For 6GR, we believe the assumption about searchers will be enhanced compared with NR, which enable the parallel measurement.</w:t>
      </w:r>
    </w:p>
    <w:p w14:paraId="2A2F86F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support concurrent measurement gaps from 6G day-1.</w:t>
      </w:r>
    </w:p>
    <w:p w14:paraId="158810A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it is proposed to support parallel measurement for the colliding measurement gaps.</w:t>
      </w:r>
    </w:p>
    <w:p w14:paraId="6D10E3A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Measurement gap has impact on throughput. </w:t>
      </w:r>
      <w:r>
        <w:rPr>
          <w:rFonts w:hint="eastAsia" w:ascii="Times New Roman" w:hAnsi="Times New Roman"/>
          <w:sz w:val="20"/>
          <w:szCs w:val="20"/>
          <w:lang w:val="en-US" w:eastAsia="zh-CN"/>
        </w:rPr>
        <w:t xml:space="preserve">During the measurement gaps, UE </w:t>
      </w:r>
      <w:r>
        <w:rPr>
          <w:rFonts w:hint="default" w:ascii="Times New Roman" w:hAnsi="Times New Roman"/>
          <w:sz w:val="20"/>
          <w:szCs w:val="20"/>
          <w:lang w:val="en-US" w:eastAsia="zh-CN"/>
        </w:rPr>
        <w:t>is not required to conduct reception/transmission from/to the serving cells except the reception of signals used for RRM measurement(s) and the signals used for random access procedure</w:t>
      </w:r>
      <w:r>
        <w:rPr>
          <w:rFonts w:hint="eastAsia" w:ascii="Times New Roman" w:hAnsi="Times New Roman"/>
          <w:sz w:val="20"/>
          <w:szCs w:val="20"/>
          <w:lang w:val="en-US" w:eastAsia="zh-CN"/>
        </w:rPr>
        <w:t xml:space="preserve">. How UE perform measurement is up to UE implementation, network has no information about whether measurement is performed in a certain measurement occasion. As a result, network will not schedule UE in any measurement gap occasion. </w:t>
      </w:r>
      <w:r>
        <w:rPr>
          <w:rFonts w:hint="eastAsia" w:ascii="Times New Roman" w:hAnsi="Times New Roman" w:eastAsia="等线"/>
          <w:bCs/>
          <w:iCs/>
          <w:sz w:val="20"/>
          <w:szCs w:val="20"/>
          <w:lang w:val="en-US" w:eastAsia="zh-CN"/>
        </w:rPr>
        <w:t xml:space="preserve">For a typical measurement gap configuration with 40ms MGRP and 6ms MGL, the data loss is 15%.  </w:t>
      </w:r>
    </w:p>
    <w:p w14:paraId="68B2987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Transmission/reception in measurement gaps (MG skipping/canceling) is supported in Rel-19, but it is only limited to XR service. Dynamic indication is used to indicate whether to skip the first gap occasion after a minimum time offset required between the last symbol of the PDCCH carrying the indication and the start of corresponding skipped gap/restriction occasion indicated by the DCI. In addition, UAI about a ratio (R) of gap occasions that is recommended for cancellation during a time period of 1 s is introduced. MG skipping/canceling is a good mechanism which is beneficial for throughput improvement. It is proposed to consider MG skipping/canceling in 6GR, and MG skipping/canceling is considered as a generic approach, i.e. it is applied to all the service, not limit to XR.</w:t>
      </w:r>
    </w:p>
    <w:p w14:paraId="607B1DF7">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it is proposed to consider MG skipping/canceling from 6G day-1, and MG skipping/canceling is a generic approach, not limit to XR. </w:t>
      </w:r>
    </w:p>
    <w:p w14:paraId="5D2EE4C0">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Multiple measurement gap patterns, in total more than 20 gap patterns, are introduced in 5G, as duplicated in following table. Too many gap patterns increase the implementation complexity for both network and UE.  Among those gap patterns, only limited a few patterns are mandatory. While many MG patterns are optional based on UE capability. According to the discussion in last meeting, some companies propose reduce the number of gap patterns. In our view, the MG pattern reduction can be considered together with increased mandatory gap patterns. It is expected that all the selected MG patterns for 6GR can be mandatory supported.      </w:t>
      </w:r>
    </w:p>
    <w:p w14:paraId="24C59CBA">
      <w:pPr>
        <w:spacing w:after="180" w:line="240" w:lineRule="exact"/>
        <w:jc w:val="center"/>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Table 9.1.2-1: Gap Pattern Configuration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0"/>
        <w:gridCol w:w="3110"/>
        <w:gridCol w:w="3111"/>
      </w:tblGrid>
      <w:tr w14:paraId="48AF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679B998">
            <w:pPr>
              <w:pStyle w:val="26"/>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Gap Pattern Id</w:t>
            </w:r>
          </w:p>
        </w:tc>
        <w:tc>
          <w:tcPr>
            <w:tcW w:w="3110" w:type="dxa"/>
            <w:vAlign w:val="top"/>
          </w:tcPr>
          <w:p w14:paraId="47DAF2D4">
            <w:pPr>
              <w:pStyle w:val="26"/>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 xml:space="preserve">Measurement </w:t>
            </w:r>
            <w:r>
              <w:rPr>
                <w:rFonts w:hint="default" w:ascii="Times New Roman" w:hAnsi="Times New Roman" w:cs="Times New Roman"/>
                <w:sz w:val="20"/>
                <w:szCs w:val="20"/>
              </w:rPr>
              <w:t>Gap Length (MGL, ms)</w:t>
            </w:r>
          </w:p>
        </w:tc>
        <w:tc>
          <w:tcPr>
            <w:tcW w:w="3111" w:type="dxa"/>
            <w:vAlign w:val="top"/>
          </w:tcPr>
          <w:p w14:paraId="6904F402">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Measurement</w:t>
            </w:r>
            <w:r>
              <w:rPr>
                <w:rFonts w:hint="default" w:ascii="Times New Roman" w:hAnsi="Times New Roman" w:cs="Times New Roman"/>
                <w:sz w:val="20"/>
                <w:szCs w:val="20"/>
              </w:rPr>
              <w:t xml:space="preserve"> Gap Repetition Period</w:t>
            </w:r>
          </w:p>
          <w:p w14:paraId="6A954820">
            <w:pPr>
              <w:pStyle w:val="26"/>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(MGRP, ms)</w:t>
            </w:r>
          </w:p>
        </w:tc>
      </w:tr>
      <w:tr w14:paraId="2BCC1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A04D7E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0</w:t>
            </w:r>
          </w:p>
        </w:tc>
        <w:tc>
          <w:tcPr>
            <w:tcW w:w="3110" w:type="dxa"/>
            <w:vAlign w:val="top"/>
          </w:tcPr>
          <w:p w14:paraId="30A94AED">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6</w:t>
            </w:r>
          </w:p>
        </w:tc>
        <w:tc>
          <w:tcPr>
            <w:tcW w:w="3111" w:type="dxa"/>
            <w:vAlign w:val="top"/>
          </w:tcPr>
          <w:p w14:paraId="0AD40A0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40</w:t>
            </w:r>
          </w:p>
        </w:tc>
      </w:tr>
      <w:tr w14:paraId="0F45E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18053E7B">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1</w:t>
            </w:r>
          </w:p>
        </w:tc>
        <w:tc>
          <w:tcPr>
            <w:tcW w:w="3110" w:type="dxa"/>
            <w:vAlign w:val="top"/>
          </w:tcPr>
          <w:p w14:paraId="4AF01EE2">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6</w:t>
            </w:r>
          </w:p>
        </w:tc>
        <w:tc>
          <w:tcPr>
            <w:tcW w:w="3111" w:type="dxa"/>
            <w:vAlign w:val="top"/>
          </w:tcPr>
          <w:p w14:paraId="5FCEA45E">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80</w:t>
            </w:r>
          </w:p>
        </w:tc>
      </w:tr>
      <w:tr w14:paraId="3DE6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434F864B">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2</w:t>
            </w:r>
          </w:p>
        </w:tc>
        <w:tc>
          <w:tcPr>
            <w:tcW w:w="3110" w:type="dxa"/>
            <w:vAlign w:val="top"/>
          </w:tcPr>
          <w:p w14:paraId="068EE805">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w:t>
            </w:r>
          </w:p>
        </w:tc>
        <w:tc>
          <w:tcPr>
            <w:tcW w:w="3111" w:type="dxa"/>
            <w:vAlign w:val="top"/>
          </w:tcPr>
          <w:p w14:paraId="6A8491C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40</w:t>
            </w:r>
          </w:p>
        </w:tc>
      </w:tr>
      <w:tr w14:paraId="2ED0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52AEAD0A">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w:t>
            </w:r>
          </w:p>
        </w:tc>
        <w:tc>
          <w:tcPr>
            <w:tcW w:w="3110" w:type="dxa"/>
            <w:vAlign w:val="top"/>
          </w:tcPr>
          <w:p w14:paraId="0DB48C1D">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w:t>
            </w:r>
          </w:p>
        </w:tc>
        <w:tc>
          <w:tcPr>
            <w:tcW w:w="3111" w:type="dxa"/>
            <w:vAlign w:val="top"/>
          </w:tcPr>
          <w:p w14:paraId="13F58E11">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80</w:t>
            </w:r>
          </w:p>
        </w:tc>
      </w:tr>
      <w:tr w14:paraId="1F06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0BB79616">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w:t>
            </w:r>
          </w:p>
        </w:tc>
        <w:tc>
          <w:tcPr>
            <w:tcW w:w="3110" w:type="dxa"/>
            <w:vAlign w:val="top"/>
          </w:tcPr>
          <w:p w14:paraId="5102B36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6</w:t>
            </w:r>
          </w:p>
        </w:tc>
        <w:tc>
          <w:tcPr>
            <w:tcW w:w="3111" w:type="dxa"/>
            <w:vAlign w:val="top"/>
          </w:tcPr>
          <w:p w14:paraId="4BA841F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20</w:t>
            </w:r>
          </w:p>
        </w:tc>
      </w:tr>
      <w:tr w14:paraId="1C0E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44E88359">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5</w:t>
            </w:r>
          </w:p>
        </w:tc>
        <w:tc>
          <w:tcPr>
            <w:tcW w:w="3110" w:type="dxa"/>
            <w:vAlign w:val="top"/>
          </w:tcPr>
          <w:p w14:paraId="3D6D672D">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6</w:t>
            </w:r>
          </w:p>
        </w:tc>
        <w:tc>
          <w:tcPr>
            <w:tcW w:w="3111" w:type="dxa"/>
            <w:vAlign w:val="top"/>
          </w:tcPr>
          <w:p w14:paraId="299839B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160</w:t>
            </w:r>
          </w:p>
        </w:tc>
      </w:tr>
      <w:tr w14:paraId="70BF4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876ED62">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6</w:t>
            </w:r>
          </w:p>
        </w:tc>
        <w:tc>
          <w:tcPr>
            <w:tcW w:w="3110" w:type="dxa"/>
            <w:vAlign w:val="top"/>
          </w:tcPr>
          <w:p w14:paraId="60ADA564">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w:t>
            </w:r>
          </w:p>
        </w:tc>
        <w:tc>
          <w:tcPr>
            <w:tcW w:w="3111" w:type="dxa"/>
            <w:vAlign w:val="top"/>
          </w:tcPr>
          <w:p w14:paraId="665CE14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20</w:t>
            </w:r>
          </w:p>
        </w:tc>
      </w:tr>
      <w:tr w14:paraId="553F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0" w:type="dxa"/>
            <w:vAlign w:val="top"/>
          </w:tcPr>
          <w:p w14:paraId="4415DBF7">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7</w:t>
            </w:r>
          </w:p>
        </w:tc>
        <w:tc>
          <w:tcPr>
            <w:tcW w:w="3110" w:type="dxa"/>
            <w:vAlign w:val="top"/>
          </w:tcPr>
          <w:p w14:paraId="32730189">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w:t>
            </w:r>
          </w:p>
        </w:tc>
        <w:tc>
          <w:tcPr>
            <w:tcW w:w="3111" w:type="dxa"/>
            <w:vAlign w:val="top"/>
          </w:tcPr>
          <w:p w14:paraId="3A70D9E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40</w:t>
            </w:r>
          </w:p>
        </w:tc>
      </w:tr>
      <w:tr w14:paraId="119E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4006426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8</w:t>
            </w:r>
          </w:p>
        </w:tc>
        <w:tc>
          <w:tcPr>
            <w:tcW w:w="3110" w:type="dxa"/>
            <w:vAlign w:val="top"/>
          </w:tcPr>
          <w:p w14:paraId="0020D553">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w:t>
            </w:r>
          </w:p>
        </w:tc>
        <w:tc>
          <w:tcPr>
            <w:tcW w:w="3111" w:type="dxa"/>
            <w:vAlign w:val="top"/>
          </w:tcPr>
          <w:p w14:paraId="21F0031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80</w:t>
            </w:r>
          </w:p>
        </w:tc>
      </w:tr>
      <w:tr w14:paraId="46CB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FE131E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9</w:t>
            </w:r>
          </w:p>
        </w:tc>
        <w:tc>
          <w:tcPr>
            <w:tcW w:w="3110" w:type="dxa"/>
            <w:vAlign w:val="top"/>
          </w:tcPr>
          <w:p w14:paraId="34919A45">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w:t>
            </w:r>
          </w:p>
        </w:tc>
        <w:tc>
          <w:tcPr>
            <w:tcW w:w="3111" w:type="dxa"/>
            <w:vAlign w:val="top"/>
          </w:tcPr>
          <w:p w14:paraId="49C8FF61">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160</w:t>
            </w:r>
          </w:p>
        </w:tc>
      </w:tr>
      <w:tr w14:paraId="010E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8030331">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10</w:t>
            </w:r>
          </w:p>
        </w:tc>
        <w:tc>
          <w:tcPr>
            <w:tcW w:w="3110" w:type="dxa"/>
            <w:vAlign w:val="top"/>
          </w:tcPr>
          <w:p w14:paraId="5FFD20D9">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w:t>
            </w:r>
          </w:p>
        </w:tc>
        <w:tc>
          <w:tcPr>
            <w:tcW w:w="3111" w:type="dxa"/>
            <w:vAlign w:val="top"/>
          </w:tcPr>
          <w:p w14:paraId="5D4BE1FB">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20</w:t>
            </w:r>
          </w:p>
        </w:tc>
      </w:tr>
      <w:tr w14:paraId="611B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837F511">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11</w:t>
            </w:r>
          </w:p>
        </w:tc>
        <w:tc>
          <w:tcPr>
            <w:tcW w:w="3110" w:type="dxa"/>
            <w:vAlign w:val="top"/>
          </w:tcPr>
          <w:p w14:paraId="5F55ACA4">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w:t>
            </w:r>
          </w:p>
        </w:tc>
        <w:tc>
          <w:tcPr>
            <w:tcW w:w="3111" w:type="dxa"/>
            <w:vAlign w:val="top"/>
          </w:tcPr>
          <w:p w14:paraId="1E8D864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160</w:t>
            </w:r>
          </w:p>
        </w:tc>
      </w:tr>
      <w:tr w14:paraId="440E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6CD5103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12</w:t>
            </w:r>
          </w:p>
        </w:tc>
        <w:tc>
          <w:tcPr>
            <w:tcW w:w="3110" w:type="dxa"/>
            <w:vAlign w:val="top"/>
          </w:tcPr>
          <w:p w14:paraId="55119D4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5.5</w:t>
            </w:r>
          </w:p>
        </w:tc>
        <w:tc>
          <w:tcPr>
            <w:tcW w:w="3111" w:type="dxa"/>
            <w:vAlign w:val="top"/>
          </w:tcPr>
          <w:p w14:paraId="552D91C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20</w:t>
            </w:r>
          </w:p>
        </w:tc>
      </w:tr>
      <w:tr w14:paraId="4850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467B82C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13</w:t>
            </w:r>
          </w:p>
        </w:tc>
        <w:tc>
          <w:tcPr>
            <w:tcW w:w="3110" w:type="dxa"/>
            <w:vAlign w:val="top"/>
          </w:tcPr>
          <w:p w14:paraId="6A0678AA">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5.5</w:t>
            </w:r>
          </w:p>
        </w:tc>
        <w:tc>
          <w:tcPr>
            <w:tcW w:w="3111" w:type="dxa"/>
            <w:vAlign w:val="top"/>
          </w:tcPr>
          <w:p w14:paraId="21CDE489">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40</w:t>
            </w:r>
          </w:p>
        </w:tc>
      </w:tr>
      <w:tr w14:paraId="4EBF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09AA347E">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14</w:t>
            </w:r>
          </w:p>
        </w:tc>
        <w:tc>
          <w:tcPr>
            <w:tcW w:w="3110" w:type="dxa"/>
            <w:vAlign w:val="top"/>
          </w:tcPr>
          <w:p w14:paraId="558A5556">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5.5</w:t>
            </w:r>
          </w:p>
        </w:tc>
        <w:tc>
          <w:tcPr>
            <w:tcW w:w="3111" w:type="dxa"/>
            <w:vAlign w:val="top"/>
          </w:tcPr>
          <w:p w14:paraId="64AF1AC9">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80</w:t>
            </w:r>
          </w:p>
        </w:tc>
      </w:tr>
      <w:tr w14:paraId="0F62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47CC216E">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15</w:t>
            </w:r>
          </w:p>
        </w:tc>
        <w:tc>
          <w:tcPr>
            <w:tcW w:w="3110" w:type="dxa"/>
            <w:vAlign w:val="top"/>
          </w:tcPr>
          <w:p w14:paraId="0685BAFD">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5.5</w:t>
            </w:r>
          </w:p>
        </w:tc>
        <w:tc>
          <w:tcPr>
            <w:tcW w:w="3111" w:type="dxa"/>
            <w:vAlign w:val="top"/>
          </w:tcPr>
          <w:p w14:paraId="5890C30A">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160</w:t>
            </w:r>
          </w:p>
        </w:tc>
      </w:tr>
      <w:tr w14:paraId="2DFD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EEB6C8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16</w:t>
            </w:r>
          </w:p>
        </w:tc>
        <w:tc>
          <w:tcPr>
            <w:tcW w:w="3110" w:type="dxa"/>
            <w:vAlign w:val="top"/>
          </w:tcPr>
          <w:p w14:paraId="4E584F4B">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3.5</w:t>
            </w:r>
          </w:p>
        </w:tc>
        <w:tc>
          <w:tcPr>
            <w:tcW w:w="3111" w:type="dxa"/>
            <w:vAlign w:val="top"/>
          </w:tcPr>
          <w:p w14:paraId="125FFBC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20</w:t>
            </w:r>
          </w:p>
        </w:tc>
      </w:tr>
      <w:tr w14:paraId="13D7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21D176C4">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17</w:t>
            </w:r>
          </w:p>
        </w:tc>
        <w:tc>
          <w:tcPr>
            <w:tcW w:w="3110" w:type="dxa"/>
          </w:tcPr>
          <w:p w14:paraId="5661C7E2">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3.5</w:t>
            </w:r>
          </w:p>
        </w:tc>
        <w:tc>
          <w:tcPr>
            <w:tcW w:w="3111" w:type="dxa"/>
          </w:tcPr>
          <w:p w14:paraId="60D1C2BE">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40</w:t>
            </w:r>
          </w:p>
        </w:tc>
      </w:tr>
      <w:tr w14:paraId="5435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2846799E">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18</w:t>
            </w:r>
          </w:p>
        </w:tc>
        <w:tc>
          <w:tcPr>
            <w:tcW w:w="3110" w:type="dxa"/>
          </w:tcPr>
          <w:p w14:paraId="75C88944">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3.5</w:t>
            </w:r>
          </w:p>
        </w:tc>
        <w:tc>
          <w:tcPr>
            <w:tcW w:w="3111" w:type="dxa"/>
          </w:tcPr>
          <w:p w14:paraId="0862040F">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80</w:t>
            </w:r>
          </w:p>
        </w:tc>
      </w:tr>
      <w:tr w14:paraId="2BF32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1C91328F">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19</w:t>
            </w:r>
          </w:p>
        </w:tc>
        <w:tc>
          <w:tcPr>
            <w:tcW w:w="3110" w:type="dxa"/>
          </w:tcPr>
          <w:p w14:paraId="79C43489">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3.5</w:t>
            </w:r>
          </w:p>
        </w:tc>
        <w:tc>
          <w:tcPr>
            <w:tcW w:w="3111" w:type="dxa"/>
          </w:tcPr>
          <w:p w14:paraId="48F2A3EF">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160</w:t>
            </w:r>
          </w:p>
        </w:tc>
      </w:tr>
      <w:tr w14:paraId="4290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365AAE6E">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20</w:t>
            </w:r>
          </w:p>
        </w:tc>
        <w:tc>
          <w:tcPr>
            <w:tcW w:w="3110" w:type="dxa"/>
          </w:tcPr>
          <w:p w14:paraId="147C8D39">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1.5</w:t>
            </w:r>
          </w:p>
        </w:tc>
        <w:tc>
          <w:tcPr>
            <w:tcW w:w="3111" w:type="dxa"/>
          </w:tcPr>
          <w:p w14:paraId="5CFB21B9">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20</w:t>
            </w:r>
          </w:p>
        </w:tc>
      </w:tr>
      <w:tr w14:paraId="1D1F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091AFD68">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21</w:t>
            </w:r>
          </w:p>
        </w:tc>
        <w:tc>
          <w:tcPr>
            <w:tcW w:w="3110" w:type="dxa"/>
          </w:tcPr>
          <w:p w14:paraId="01627AD0">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1.5</w:t>
            </w:r>
          </w:p>
        </w:tc>
        <w:tc>
          <w:tcPr>
            <w:tcW w:w="3111" w:type="dxa"/>
          </w:tcPr>
          <w:p w14:paraId="02163CB5">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40</w:t>
            </w:r>
          </w:p>
        </w:tc>
      </w:tr>
      <w:tr w14:paraId="343A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7526D797">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22</w:t>
            </w:r>
          </w:p>
        </w:tc>
        <w:tc>
          <w:tcPr>
            <w:tcW w:w="3110" w:type="dxa"/>
          </w:tcPr>
          <w:p w14:paraId="79FB364D">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1.5</w:t>
            </w:r>
          </w:p>
        </w:tc>
        <w:tc>
          <w:tcPr>
            <w:tcW w:w="3111" w:type="dxa"/>
          </w:tcPr>
          <w:p w14:paraId="33158B83">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80</w:t>
            </w:r>
          </w:p>
        </w:tc>
      </w:tr>
      <w:tr w14:paraId="19463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1D998E8B">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23</w:t>
            </w:r>
          </w:p>
        </w:tc>
        <w:tc>
          <w:tcPr>
            <w:tcW w:w="3110" w:type="dxa"/>
          </w:tcPr>
          <w:p w14:paraId="14735A2D">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1.5</w:t>
            </w:r>
          </w:p>
        </w:tc>
        <w:tc>
          <w:tcPr>
            <w:tcW w:w="3111" w:type="dxa"/>
          </w:tcPr>
          <w:p w14:paraId="1B801D5A">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160</w:t>
            </w:r>
          </w:p>
        </w:tc>
      </w:tr>
      <w:tr w14:paraId="300D0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42B8E9F7">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24</w:t>
            </w:r>
          </w:p>
        </w:tc>
        <w:tc>
          <w:tcPr>
            <w:tcW w:w="3110" w:type="dxa"/>
          </w:tcPr>
          <w:p w14:paraId="7B68A52D">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10</w:t>
            </w:r>
          </w:p>
        </w:tc>
        <w:tc>
          <w:tcPr>
            <w:tcW w:w="3111" w:type="dxa"/>
          </w:tcPr>
          <w:p w14:paraId="42F41711">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80</w:t>
            </w:r>
          </w:p>
        </w:tc>
      </w:tr>
      <w:tr w14:paraId="601F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7169E437">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25</w:t>
            </w:r>
          </w:p>
        </w:tc>
        <w:tc>
          <w:tcPr>
            <w:tcW w:w="3110" w:type="dxa"/>
          </w:tcPr>
          <w:p w14:paraId="1D35AA6D">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20</w:t>
            </w:r>
          </w:p>
        </w:tc>
        <w:tc>
          <w:tcPr>
            <w:tcW w:w="3111" w:type="dxa"/>
          </w:tcPr>
          <w:p w14:paraId="2FCBE006">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160</w:t>
            </w:r>
          </w:p>
        </w:tc>
      </w:tr>
    </w:tbl>
    <w:p w14:paraId="59B91104">
      <w:pPr>
        <w:spacing w:after="180" w:line="240" w:lineRule="exact"/>
        <w:rPr>
          <w:rFonts w:hint="default" w:ascii="Times New Roman" w:hAnsi="Times New Roman" w:eastAsia="等线"/>
          <w:bCs/>
          <w:iCs/>
          <w:sz w:val="20"/>
          <w:szCs w:val="20"/>
          <w:lang w:val="en-US" w:eastAsia="zh-CN"/>
        </w:rPr>
      </w:pPr>
    </w:p>
    <w:p w14:paraId="0AA7FA9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for measurement gap design for 6GR, reducing MG patterns and increasing number of mandatory MG patterns can be discussed together.</w:t>
      </w:r>
    </w:p>
    <w:p w14:paraId="2BCADDD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Measurement gap pattern are defined in terms of measurement gap length (MGL) and measurement gap repetition period (MGRP). MGL consists of measurement duration and RF re-tuning time (RRT) before and after measurement duration. In 5G, the working assumption on RRT is 0.5 ms for FR1 and 0.25ms for FR2. As discussed in last meeting, UE vendors propose to consider shorter RF re-tuning time since UE has better implementation. Is is beneficial to consider shorter RRT, which not only reduce the measurement gap length, and also reduce the interruption due to RF re-tuning. </w:t>
      </w:r>
    </w:p>
    <w:p w14:paraId="6CDEBD5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9: it is proposed to consider reduced RF re-tuning time when discuss the measurement gap pattern for 6GR.  </w:t>
      </w:r>
    </w:p>
    <w:p w14:paraId="19B46A27">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 xml:space="preserve">2.2 RRM framework: Measurement capability/delay/overhead/accuracy/quantity/unified-measurement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5C8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6344CBA">
            <w:pPr>
              <w:bidi w:val="0"/>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Issue 5: RRM framework: </w:t>
            </w:r>
          </w:p>
          <w:p w14:paraId="4F706837">
            <w:pPr>
              <w:rPr>
                <w:rFonts w:hint="default" w:ascii="Times New Roman" w:hAnsi="Times New Roman" w:cs="Times New Roman"/>
                <w:bCs/>
                <w:color w:val="0070C0"/>
                <w:sz w:val="20"/>
                <w:szCs w:val="20"/>
                <w:u w:val="single"/>
                <w:lang w:eastAsia="ko-KR"/>
              </w:rPr>
            </w:pPr>
            <w:r>
              <w:rPr>
                <w:rFonts w:hint="default" w:ascii="Times New Roman" w:hAnsi="Times New Roman" w:cs="Times New Roman"/>
                <w:bCs/>
                <w:color w:val="0070C0"/>
                <w:sz w:val="20"/>
                <w:szCs w:val="20"/>
                <w:u w:val="single"/>
                <w:lang w:eastAsia="ko-KR"/>
              </w:rPr>
              <w:t>Issue 5: RRM framework: Measurement capability/delay/overhead/accuracy</w:t>
            </w:r>
          </w:p>
          <w:p w14:paraId="265AEE5C">
            <w:pPr>
              <w:rPr>
                <w:rFonts w:hint="default" w:ascii="Times New Roman" w:hAnsi="Times New Roman" w:cs="Times New Roman"/>
                <w:bCs/>
                <w:color w:val="0070C0"/>
                <w:sz w:val="20"/>
                <w:szCs w:val="20"/>
                <w:u w:val="single"/>
                <w:lang w:eastAsia="ko-KR"/>
              </w:rPr>
            </w:pPr>
          </w:p>
          <w:p w14:paraId="7F30E15F">
            <w:pPr>
              <w:spacing w:after="12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Agreement:</w:t>
            </w:r>
          </w:p>
          <w:p w14:paraId="411855E0">
            <w:pPr>
              <w:spacing w:after="12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 xml:space="preserve">RRM framework: measurement capability/delay/overhead/accuracy/quantities/unified measurement, is agreed as part of RAN4 RRM 6G study. The detailed scope will be further decided. </w:t>
            </w:r>
          </w:p>
          <w:p w14:paraId="46EC34A8">
            <w:pPr>
              <w:spacing w:after="120"/>
              <w:rPr>
                <w:rFonts w:hint="default" w:ascii="Times New Roman" w:hAnsi="Times New Roman" w:cs="Times New Roman"/>
                <w:bCs/>
                <w:sz w:val="20"/>
                <w:szCs w:val="20"/>
              </w:rPr>
            </w:pPr>
            <w:r>
              <w:rPr>
                <w:rFonts w:hint="default" w:ascii="Times New Roman" w:hAnsi="Times New Roman" w:cs="Times New Roman"/>
                <w:bCs/>
                <w:sz w:val="20"/>
                <w:szCs w:val="20"/>
                <w:highlight w:val="green"/>
              </w:rPr>
              <w:tab/>
            </w:r>
            <w:r>
              <w:rPr>
                <w:rFonts w:hint="default" w:ascii="Times New Roman" w:hAnsi="Times New Roman" w:cs="Times New Roman"/>
                <w:bCs/>
                <w:sz w:val="20"/>
                <w:szCs w:val="20"/>
                <w:highlight w:val="green"/>
              </w:rPr>
              <w:t>Note: the title of the main topic can be revised after selection of the sub-topics.</w:t>
            </w:r>
          </w:p>
          <w:p w14:paraId="5B3FBC34">
            <w:pPr>
              <w:pStyle w:val="16"/>
              <w:spacing w:after="120"/>
              <w:ind w:firstLine="0" w:firstLineChars="0"/>
              <w:rPr>
                <w:rFonts w:hint="default" w:ascii="Times New Roman" w:hAnsi="Times New Roman" w:cs="Times New Roman"/>
                <w:bCs/>
                <w:sz w:val="20"/>
                <w:szCs w:val="20"/>
              </w:rPr>
            </w:pPr>
            <w:r>
              <w:rPr>
                <w:rFonts w:hint="default" w:ascii="Times New Roman" w:hAnsi="Times New Roman" w:cs="Times New Roman"/>
                <w:bCs/>
                <w:sz w:val="20"/>
                <w:szCs w:val="20"/>
              </w:rPr>
              <w:t>[Way forward]</w:t>
            </w:r>
          </w:p>
          <w:p w14:paraId="71C92844">
            <w:pPr>
              <w:pStyle w:val="16"/>
              <w:numPr>
                <w:ilvl w:val="0"/>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FFS followings in the RAN4#117 meeting (other sub-topics are not precluded):</w:t>
            </w:r>
          </w:p>
          <w:p w14:paraId="4D1A9C95">
            <w:pPr>
              <w:pStyle w:val="16"/>
              <w:numPr>
                <w:ilvl w:val="1"/>
                <w:numId w:val="8"/>
              </w:numPr>
              <w:spacing w:after="120"/>
              <w:ind w:left="1364" w:firstLineChars="0"/>
              <w:rPr>
                <w:rFonts w:hint="default" w:ascii="Times New Roman" w:hAnsi="Times New Roman" w:eastAsia="宋体" w:cs="Times New Roman"/>
                <w:bCs/>
                <w:sz w:val="20"/>
                <w:szCs w:val="20"/>
              </w:rPr>
            </w:pPr>
            <w:r>
              <w:rPr>
                <w:rFonts w:hint="default" w:ascii="Times New Roman" w:hAnsi="Times New Roman" w:cs="Times New Roman"/>
                <w:bCs/>
                <w:sz w:val="20"/>
                <w:szCs w:val="20"/>
              </w:rPr>
              <w:t>Measurement capability</w:t>
            </w:r>
          </w:p>
          <w:p w14:paraId="10F5DEEB">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measurement capability for number of cells, beams and frequency layers (MTK, OPPO, Ericsson)</w:t>
            </w:r>
          </w:p>
          <w:p w14:paraId="4375883B">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Virtual RRM UE group (Apple, ZTE)</w:t>
            </w:r>
          </w:p>
          <w:p w14:paraId="131FF976">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cs="Times New Roman"/>
                <w:bCs/>
                <w:sz w:val="20"/>
                <w:szCs w:val="20"/>
              </w:rPr>
              <w:t>Measurement requirements depending on purpose of the configured measurement: mobility or data (CA) (Nokia)</w:t>
            </w:r>
          </w:p>
          <w:p w14:paraId="32CF21F2">
            <w:pPr>
              <w:pStyle w:val="16"/>
              <w:numPr>
                <w:ilvl w:val="2"/>
                <w:numId w:val="8"/>
              </w:numPr>
              <w:spacing w:after="120"/>
              <w:ind w:left="2084" w:firstLineChars="0"/>
              <w:rPr>
                <w:rFonts w:hint="default" w:ascii="Times New Roman" w:hAnsi="Times New Roman" w:cs="Times New Roman"/>
                <w:bCs/>
                <w:sz w:val="20"/>
                <w:szCs w:val="20"/>
              </w:rPr>
            </w:pPr>
            <w:r>
              <w:rPr>
                <w:rFonts w:hint="default" w:ascii="Times New Roman" w:hAnsi="Times New Roman" w:cs="Times New Roman"/>
                <w:bCs/>
                <w:sz w:val="20"/>
                <w:szCs w:val="20"/>
              </w:rPr>
              <w:t>RF retuning time, baseband processing time for typical use cases</w:t>
            </w:r>
          </w:p>
          <w:p w14:paraId="4F560613">
            <w:pPr>
              <w:pStyle w:val="16"/>
              <w:numPr>
                <w:ilvl w:val="2"/>
                <w:numId w:val="8"/>
              </w:numPr>
              <w:spacing w:after="120"/>
              <w:ind w:left="2084" w:firstLineChars="0"/>
              <w:rPr>
                <w:rFonts w:hint="default" w:ascii="Times New Roman" w:hAnsi="Times New Roman" w:cs="Times New Roman"/>
                <w:bCs/>
                <w:sz w:val="20"/>
                <w:szCs w:val="20"/>
              </w:rPr>
            </w:pPr>
            <w:r>
              <w:rPr>
                <w:rFonts w:hint="default" w:ascii="Times New Roman" w:hAnsi="Times New Roman" w:cs="Times New Roman"/>
                <w:bCs/>
                <w:sz w:val="20"/>
                <w:szCs w:val="20"/>
              </w:rPr>
              <w:t>UE reference architecture for 6G spectrums</w:t>
            </w:r>
          </w:p>
          <w:p w14:paraId="17314971">
            <w:pPr>
              <w:pStyle w:val="16"/>
              <w:numPr>
                <w:ilvl w:val="2"/>
                <w:numId w:val="8"/>
              </w:numPr>
              <w:spacing w:after="120"/>
              <w:ind w:left="2084" w:firstLineChars="0"/>
              <w:rPr>
                <w:rFonts w:hint="default" w:ascii="Times New Roman" w:hAnsi="Times New Roman" w:cs="Times New Roman"/>
                <w:bCs/>
                <w:sz w:val="20"/>
                <w:szCs w:val="20"/>
              </w:rPr>
            </w:pPr>
            <w:r>
              <w:rPr>
                <w:rFonts w:hint="default" w:ascii="Times New Roman" w:hAnsi="Times New Roman" w:cs="Times New Roman"/>
                <w:bCs/>
                <w:sz w:val="20"/>
                <w:szCs w:val="20"/>
              </w:rPr>
              <w:t>Baseline assumptions of RRM requirements for different UE device types</w:t>
            </w:r>
          </w:p>
          <w:p w14:paraId="0EF81561">
            <w:pPr>
              <w:pStyle w:val="16"/>
              <w:numPr>
                <w:ilvl w:val="1"/>
                <w:numId w:val="8"/>
              </w:numPr>
              <w:spacing w:after="120"/>
              <w:ind w:left="1364" w:firstLineChars="0"/>
              <w:rPr>
                <w:rFonts w:hint="default" w:ascii="Times New Roman" w:hAnsi="Times New Roman" w:cs="Times New Roman"/>
                <w:bCs/>
                <w:sz w:val="20"/>
                <w:szCs w:val="20"/>
              </w:rPr>
            </w:pPr>
            <w:r>
              <w:rPr>
                <w:rFonts w:hint="default" w:ascii="Times New Roman" w:hAnsi="Times New Roman" w:cs="Times New Roman"/>
                <w:bCs/>
                <w:sz w:val="20"/>
                <w:szCs w:val="20"/>
              </w:rPr>
              <w:t>Measurement delay/overhead</w:t>
            </w:r>
          </w:p>
          <w:p w14:paraId="5E58EAD3">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Searcher number for enhanced simultaneous measurements (OPPO, HW, Samsung, ZTE, vivo, Ericsson)</w:t>
            </w:r>
          </w:p>
          <w:p w14:paraId="14359086">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Rx beam sweeping factor reduction (QC, Ericsson)</w:t>
            </w:r>
          </w:p>
          <w:p w14:paraId="65F61F6C">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Identification/measurement/tracking/reporting delay reduction (QC)</w:t>
            </w:r>
          </w:p>
          <w:p w14:paraId="2E205BA9">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eastAsia="宋体" w:cs="Times New Roman"/>
                <w:bCs/>
                <w:iCs/>
                <w:sz w:val="20"/>
                <w:szCs w:val="20"/>
              </w:rPr>
              <w:t>RRM with NW aided measurement priority (Ericsson)</w:t>
            </w:r>
          </w:p>
          <w:p w14:paraId="2A692BAD">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Virtual RRM UE group (Apple, ZTE)</w:t>
            </w:r>
          </w:p>
          <w:p w14:paraId="01796D3D">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cs="Times New Roman"/>
                <w:bCs/>
                <w:sz w:val="20"/>
                <w:szCs w:val="20"/>
              </w:rPr>
              <w:t>Measurement requirements depending on purpose of the configured measurement: mobility or data (CA) (Nokia)</w:t>
            </w:r>
          </w:p>
          <w:p w14:paraId="14187F39">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cs="Times New Roman"/>
                <w:bCs/>
                <w:sz w:val="20"/>
                <w:szCs w:val="20"/>
              </w:rPr>
              <w:t>Unified UE measurement requirements, including cell detection status and measurements, across state transitions and cell changes. (Nokia)</w:t>
            </w:r>
          </w:p>
          <w:p w14:paraId="6BB578C9">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cs="Times New Roman" w:eastAsiaTheme="minorEastAsia"/>
                <w:bCs/>
                <w:sz w:val="20"/>
                <w:szCs w:val="20"/>
              </w:rPr>
              <w:t>SSB evaluation (Samsung)</w:t>
            </w:r>
          </w:p>
          <w:p w14:paraId="7F7DDD1E">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Intra and inter-frequency definition</w:t>
            </w:r>
          </w:p>
          <w:p w14:paraId="1FBD580D">
            <w:pPr>
              <w:pStyle w:val="16"/>
              <w:numPr>
                <w:ilvl w:val="1"/>
                <w:numId w:val="8"/>
              </w:numPr>
              <w:spacing w:after="120"/>
              <w:ind w:left="1364" w:firstLineChars="0"/>
              <w:rPr>
                <w:rFonts w:hint="default" w:ascii="Times New Roman" w:hAnsi="Times New Roman" w:eastAsia="宋体" w:cs="Times New Roman"/>
                <w:bCs/>
                <w:sz w:val="20"/>
                <w:szCs w:val="20"/>
              </w:rPr>
            </w:pPr>
            <w:r>
              <w:rPr>
                <w:rFonts w:hint="default" w:ascii="Times New Roman" w:hAnsi="Times New Roman" w:cs="Times New Roman"/>
                <w:bCs/>
                <w:sz w:val="20"/>
                <w:szCs w:val="20"/>
              </w:rPr>
              <w:t>Unified measurements</w:t>
            </w:r>
          </w:p>
          <w:p w14:paraId="3DE7BA26">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eastAsia="宋体" w:cs="Times New Roman"/>
                <w:bCs/>
                <w:iCs/>
                <w:sz w:val="20"/>
                <w:szCs w:val="20"/>
              </w:rPr>
              <w:t>United/integrated cross-layers measurement and/or report between L1 and L3 (Samsung, OPPO, CMCC, LGE, Xiaomi)</w:t>
            </w:r>
          </w:p>
          <w:p w14:paraId="7DDD0BF5">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eastAsia="宋体" w:cs="Times New Roman"/>
                <w:bCs/>
                <w:iCs/>
                <w:sz w:val="20"/>
                <w:szCs w:val="20"/>
              </w:rPr>
              <w:t>United/integrated cross-functions measurement and/or report for L1 (e.g., integration of MIMO and LTM, or integration of RLM/BFD/CBD)(OPPO, CMCC, Xiaomi)</w:t>
            </w:r>
          </w:p>
          <w:p w14:paraId="479A6329">
            <w:pPr>
              <w:pStyle w:val="16"/>
              <w:numPr>
                <w:ilvl w:val="2"/>
                <w:numId w:val="8"/>
              </w:numPr>
              <w:spacing w:after="120"/>
              <w:ind w:left="2084" w:firstLineChars="0"/>
              <w:rPr>
                <w:rFonts w:hint="default" w:ascii="Times New Roman" w:hAnsi="Times New Roman" w:eastAsia="宋体" w:cs="Times New Roman"/>
                <w:bCs/>
                <w:sz w:val="20"/>
                <w:szCs w:val="20"/>
              </w:rPr>
            </w:pPr>
            <w:r>
              <w:rPr>
                <w:rFonts w:hint="default" w:ascii="Times New Roman" w:hAnsi="Times New Roman" w:eastAsia="宋体" w:cs="Times New Roman"/>
                <w:bCs/>
                <w:iCs/>
                <w:sz w:val="20"/>
                <w:szCs w:val="20"/>
              </w:rPr>
              <w:t>RAN4 to study the flexible and adaptive measurement behaviour for L1 measurement. Unification in terms of reusing L3 measurements for L1 before certain point (e.g., before TCI state activation) (Ericsson)</w:t>
            </w:r>
          </w:p>
          <w:p w14:paraId="2A4B1746">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9CFAF4E">
      <w:pPr>
        <w:spacing w:after="180" w:line="240" w:lineRule="exact"/>
        <w:rPr>
          <w:rFonts w:hint="eastAsia" w:ascii="Times New Roman" w:hAnsi="Times New Roman" w:eastAsia="等线"/>
          <w:bCs/>
          <w:iCs/>
          <w:sz w:val="20"/>
          <w:szCs w:val="20"/>
          <w:lang w:val="en-US" w:eastAsia="zh-CN"/>
        </w:rPr>
      </w:pPr>
    </w:p>
    <w:p w14:paraId="02177E9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Measurement delay is related with number of searchers. In 5G, 2 searchers are assumed until Rel-19 with the introduction of 3 searchers. However, the applied scenarios for 3 searchers are limited. For 6GR, it is expected that the assumption about searchers will be enhanced compared with NR. With increased number of searchers, the parallel measurement is enabled, which could help in reducing measurement delay.</w:t>
      </w:r>
    </w:p>
    <w:p w14:paraId="641712B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10: to reduce measurement delay, it is proposed to study the increased number of searchers in order to enable simultaneous measurement.</w:t>
      </w:r>
    </w:p>
    <w:p w14:paraId="6563271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One lesson learned from NR is that RAN4 spend a lot effort in the definition of intra-frequency/inter-frequency measurement, but the actual impact is only about how to categorize requirements from RAN4 perspective. And the tough discussion is repeated again and again for different type of measurement. Following is the summary of definition on intra-frequency/ inter-frequency measurement.</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72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45B8A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L3 measurement</w:t>
            </w:r>
          </w:p>
          <w:p w14:paraId="5B7849BB">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  </w:t>
            </w:r>
          </w:p>
          <w:p w14:paraId="4608591E">
            <w:pPr>
              <w:spacing w:after="180" w:line="240" w:lineRule="exact"/>
              <w:rPr>
                <w:rFonts w:hint="default" w:ascii="Times New Roman" w:hAnsi="Times New Roman" w:eastAsia="等线" w:cs="Times New Roman"/>
                <w:b/>
                <w:bCs w:val="0"/>
                <w:iCs/>
                <w:sz w:val="20"/>
                <w:szCs w:val="20"/>
                <w:vertAlign w:val="baseline"/>
                <w:lang w:val="en-US" w:eastAsia="zh-CN"/>
              </w:rPr>
            </w:pPr>
          </w:p>
          <w:p w14:paraId="1240915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L3 measurement</w:t>
            </w:r>
          </w:p>
          <w:p w14:paraId="2E0D36C7">
            <w:pPr>
              <w:tabs>
                <w:tab w:val="left" w:pos="0"/>
              </w:tabs>
              <w:rPr>
                <w:rFonts w:hint="default" w:ascii="Times New Roman" w:hAnsi="Times New Roman" w:cs="Times New Roman"/>
                <w:sz w:val="20"/>
                <w:szCs w:val="20"/>
                <w:lang w:eastAsia="ja-JP" w:bidi="hi-IN"/>
              </w:rPr>
            </w:pPr>
            <w:r>
              <w:rPr>
                <w:rFonts w:hint="default" w:ascii="Times New Roman" w:hAnsi="Times New Roman" w:cs="Times New Roman" w:eastAsiaTheme="minorEastAsia"/>
                <w:sz w:val="20"/>
                <w:szCs w:val="20"/>
                <w:lang w:eastAsia="zh-CN"/>
              </w:rPr>
              <w:t>A</w:t>
            </w:r>
            <w:r>
              <w:rPr>
                <w:rFonts w:hint="default" w:ascii="Times New Roman" w:hAnsi="Times New Roman" w:cs="Times New Roman"/>
                <w:sz w:val="20"/>
                <w:szCs w:val="20"/>
              </w:rPr>
              <w:t xml:space="preserve"> measurement is defined as a CSI-RS based intra-frequency measurement provided that:</w:t>
            </w:r>
          </w:p>
          <w:p w14:paraId="5FCF2ED3">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SCS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SCS of the CSI-RS resource on the serving cell indicated for measurement, and</w:t>
            </w:r>
          </w:p>
          <w:p w14:paraId="2A444F50">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CP type of the CSI-RS resource of neighbour cell configured for measurement </w:t>
            </w:r>
            <w:r>
              <w:rPr>
                <w:rFonts w:hint="default" w:ascii="Times New Roman" w:hAnsi="Times New Roman" w:cs="Times New Roman"/>
                <w:sz w:val="20"/>
                <w:szCs w:val="20"/>
                <w:lang w:eastAsia="zh-CN" w:bidi="hi-IN"/>
              </w:rPr>
              <w:t>is the same as the CP type of the CSI-RS resource of</w:t>
            </w:r>
            <w:r>
              <w:rPr>
                <w:rFonts w:hint="default" w:ascii="Times New Roman" w:hAnsi="Times New Roman" w:cs="Times New Roman"/>
                <w:sz w:val="20"/>
                <w:szCs w:val="20"/>
                <w:lang w:eastAsia="ja-JP" w:bidi="hi-IN"/>
              </w:rPr>
              <w:t xml:space="preserve"> </w:t>
            </w:r>
            <w:r>
              <w:rPr>
                <w:rFonts w:hint="default" w:ascii="Times New Roman" w:hAnsi="Times New Roman" w:cs="Times New Roman"/>
                <w:sz w:val="20"/>
                <w:szCs w:val="20"/>
                <w:lang w:eastAsia="zh-CN" w:bidi="hi-IN"/>
              </w:rPr>
              <w:t>the serving</w:t>
            </w:r>
            <w:r>
              <w:rPr>
                <w:rFonts w:hint="default" w:ascii="Times New Roman" w:hAnsi="Times New Roman" w:cs="Times New Roman"/>
                <w:sz w:val="20"/>
                <w:szCs w:val="20"/>
                <w:lang w:eastAsia="ja-JP" w:bidi="hi-IN"/>
              </w:rPr>
              <w:t xml:space="preserve"> cell indicated for measurement, and</w:t>
            </w:r>
          </w:p>
          <w:p w14:paraId="19A370CE">
            <w:pPr>
              <w:pStyle w:val="20"/>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It is applied for SCS = 60KHz</w:t>
            </w:r>
          </w:p>
          <w:p w14:paraId="2E2B3FEA">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centre frequency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centre frequency of the CSI-RS resource of the serving cell indicated for measurement</w:t>
            </w:r>
          </w:p>
          <w:p w14:paraId="48EE2345">
            <w:pPr>
              <w:spacing w:after="180" w:line="240" w:lineRule="exact"/>
              <w:rPr>
                <w:rFonts w:hint="default" w:ascii="Times New Roman" w:hAnsi="Times New Roman" w:eastAsia="等线" w:cs="Times New Roman"/>
                <w:bCs/>
                <w:iCs/>
                <w:sz w:val="20"/>
                <w:szCs w:val="20"/>
                <w:vertAlign w:val="baseline"/>
                <w:lang w:val="en-US" w:eastAsia="zh-CN"/>
              </w:rPr>
            </w:pPr>
          </w:p>
          <w:p w14:paraId="06C2E86F">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L1 measurement</w:t>
            </w:r>
          </w:p>
          <w:p w14:paraId="1DF26394">
            <w:pPr>
              <w:rPr>
                <w:rFonts w:hint="default" w:ascii="Times New Roman" w:hAnsi="Times New Roman" w:cs="Times New Roman"/>
                <w:sz w:val="20"/>
                <w:szCs w:val="20"/>
              </w:rPr>
            </w:pPr>
            <w:r>
              <w:rPr>
                <w:rFonts w:hint="default" w:ascii="Times New Roman" w:hAnsi="Times New Roman" w:cs="Times New Roman"/>
                <w:sz w:val="20"/>
                <w:szCs w:val="20"/>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16DEC63F">
            <w:pPr>
              <w:spacing w:after="180" w:line="240" w:lineRule="exact"/>
              <w:rPr>
                <w:rFonts w:hint="default" w:ascii="Times New Roman" w:hAnsi="Times New Roman" w:eastAsia="等线" w:cs="Times New Roman"/>
                <w:bCs/>
                <w:iCs/>
                <w:sz w:val="20"/>
                <w:szCs w:val="20"/>
                <w:vertAlign w:val="baseline"/>
                <w:lang w:val="en-US" w:eastAsia="zh-CN"/>
              </w:rPr>
            </w:pPr>
          </w:p>
          <w:p w14:paraId="65AB0AF0">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L1 measurement</w:t>
            </w:r>
          </w:p>
          <w:p w14:paraId="515BFBAF">
            <w:pPr>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A measurement is defined as a CSI-RS based intra-frequency L1-RSRP measurement provided </w:t>
            </w:r>
            <w:r>
              <w:rPr>
                <w:rFonts w:hint="default" w:ascii="Times New Roman" w:hAnsi="Times New Roman" w:cs="Times New Roman"/>
                <w:sz w:val="20"/>
                <w:szCs w:val="20"/>
                <w:lang w:eastAsia="zh-CN"/>
              </w:rPr>
              <w:t>that:</w:t>
            </w:r>
          </w:p>
          <w:p w14:paraId="50D351C6">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the SCS of the CSI-RS resource of LTM candidate cell(s) configured for L1 measurement is the same as the SCS of active DL BWP, and</w:t>
            </w:r>
          </w:p>
          <w:p w14:paraId="55F4F3AB">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for SCS of 60KHz, the CP type of the CSI-RS resource of LTM candidate cell(s) configured for L1 measurement is the same as the CP type of active DL BWP, and</w:t>
            </w:r>
          </w:p>
          <w:p w14:paraId="3134BFB0">
            <w:pPr>
              <w:pStyle w:val="1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at least 48 RBs of the CSI-RS resource of LTM candidate cell(s) configured for L1 measurement is included within the active DL BWP.</w:t>
            </w:r>
          </w:p>
          <w:p w14:paraId="610680BE">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1F41DA9">
      <w:pPr>
        <w:spacing w:after="180" w:line="240" w:lineRule="exact"/>
        <w:rPr>
          <w:rFonts w:hint="default" w:ascii="Times New Roman" w:hAnsi="Times New Roman" w:eastAsia="等线"/>
          <w:bCs/>
          <w:iCs/>
          <w:sz w:val="20"/>
          <w:szCs w:val="20"/>
          <w:lang w:val="en-US" w:eastAsia="zh-CN"/>
        </w:rPr>
      </w:pPr>
    </w:p>
    <w:p w14:paraId="52211F70">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lang w:val="en-US" w:eastAsia="zh-CN"/>
        </w:rPr>
        <w:t>In our understanding, from RAN4 perspective, the original motivation to have definition on intra-frequency/ inter-frequency measurement is that it can be combined whether measurement gap is needed or not based on the measurement type. For LTE, for most cases, intra-frequency measurement means no measurement gap, inter-frequency measurement means measurement gap is needed. However, the situation is different for NR. Whether measurement gap is needed or not is not decided by the the intra-frequency measurement definition. The key point is whether target reference signal is within UE active BWP or not. Taking SSB based L3 measurement as an example, r</w:t>
      </w:r>
      <w:r>
        <w:rPr>
          <w:rFonts w:hint="default" w:ascii="Times New Roman" w:hAnsi="Times New Roman" w:eastAsia="等线"/>
          <w:bCs/>
          <w:iCs/>
          <w:sz w:val="20"/>
          <w:szCs w:val="20"/>
          <w:vertAlign w:val="baseline"/>
          <w:lang w:val="en-US" w:eastAsia="zh-CN"/>
        </w:rPr>
        <w:t>equirements are categorized into 4 cases: intra-f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without</w:t>
      </w:r>
      <w:r>
        <w:rPr>
          <w:rFonts w:hint="default" w:ascii="Times New Roman" w:hAnsi="Times New Roman" w:eastAsia="等线"/>
          <w:bCs/>
          <w:iCs/>
          <w:sz w:val="20"/>
          <w:szCs w:val="20"/>
          <w:vertAlign w:val="baseline"/>
          <w:lang w:val="en-US" w:eastAsia="zh-CN"/>
        </w:rPr>
        <w:t xml:space="preserve"> gap, intra-f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w:t>
      </w:r>
      <w:r>
        <w:rPr>
          <w:rFonts w:hint="default" w:ascii="Times New Roman" w:hAnsi="Times New Roman" w:eastAsia="等线"/>
          <w:bCs/>
          <w:iCs/>
          <w:sz w:val="20"/>
          <w:szCs w:val="20"/>
          <w:vertAlign w:val="baseline"/>
          <w:lang w:val="en-US" w:eastAsia="zh-CN"/>
        </w:rPr>
        <w:t xml:space="preserve"> gap, int</w:t>
      </w:r>
      <w:r>
        <w:rPr>
          <w:rFonts w:hint="eastAsia" w:ascii="Times New Roman" w:hAnsi="Times New Roman" w:eastAsia="等线"/>
          <w:bCs/>
          <w:iCs/>
          <w:sz w:val="20"/>
          <w:szCs w:val="20"/>
          <w:vertAlign w:val="baseline"/>
          <w:lang w:val="en-US" w:eastAsia="zh-CN"/>
        </w:rPr>
        <w:t>er</w:t>
      </w:r>
      <w:r>
        <w:rPr>
          <w:rFonts w:hint="default" w:ascii="Times New Roman" w:hAnsi="Times New Roman" w:eastAsia="等线"/>
          <w:bCs/>
          <w:iCs/>
          <w:sz w:val="20"/>
          <w:szCs w:val="20"/>
          <w:vertAlign w:val="baseline"/>
          <w:lang w:val="en-US" w:eastAsia="zh-CN"/>
        </w:rPr>
        <w:t>-f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without</w:t>
      </w:r>
      <w:r>
        <w:rPr>
          <w:rFonts w:hint="default" w:ascii="Times New Roman" w:hAnsi="Times New Roman" w:eastAsia="等线"/>
          <w:bCs/>
          <w:iCs/>
          <w:sz w:val="20"/>
          <w:szCs w:val="20"/>
          <w:vertAlign w:val="baseline"/>
          <w:lang w:val="en-US" w:eastAsia="zh-CN"/>
        </w:rPr>
        <w:t xml:space="preserve"> gap, int</w:t>
      </w:r>
      <w:r>
        <w:rPr>
          <w:rFonts w:hint="eastAsia" w:ascii="Times New Roman" w:hAnsi="Times New Roman" w:eastAsia="等线"/>
          <w:bCs/>
          <w:iCs/>
          <w:sz w:val="20"/>
          <w:szCs w:val="20"/>
          <w:vertAlign w:val="baseline"/>
          <w:lang w:val="en-US" w:eastAsia="zh-CN"/>
        </w:rPr>
        <w:t>er</w:t>
      </w:r>
      <w:r>
        <w:rPr>
          <w:rFonts w:hint="default" w:ascii="Times New Roman" w:hAnsi="Times New Roman" w:eastAsia="等线"/>
          <w:bCs/>
          <w:iCs/>
          <w:sz w:val="20"/>
          <w:szCs w:val="20"/>
          <w:vertAlign w:val="baseline"/>
          <w:lang w:val="en-US" w:eastAsia="zh-CN"/>
        </w:rPr>
        <w:t>-f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w:t>
      </w:r>
      <w:r>
        <w:rPr>
          <w:rFonts w:hint="default" w:ascii="Times New Roman" w:hAnsi="Times New Roman" w:eastAsia="等线"/>
          <w:bCs/>
          <w:iCs/>
          <w:sz w:val="20"/>
          <w:szCs w:val="20"/>
          <w:vertAlign w:val="baseline"/>
          <w:lang w:val="en-US" w:eastAsia="zh-CN"/>
        </w:rPr>
        <w:t xml:space="preserve"> gap</w:t>
      </w:r>
      <w:r>
        <w:rPr>
          <w:rFonts w:hint="eastAsia" w:ascii="Times New Roman" w:hAnsi="Times New Roman" w:eastAsia="等线"/>
          <w:bCs/>
          <w:iCs/>
          <w:sz w:val="20"/>
          <w:szCs w:val="20"/>
          <w:vertAlign w:val="baseline"/>
          <w:lang w:val="en-US" w:eastAsia="zh-CN"/>
        </w:rPr>
        <w:t>. This categorization results in a lot workload when discussing enhancement in later release.</w:t>
      </w:r>
    </w:p>
    <w:p w14:paraId="685F7F2A">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Observation 1: in NR, with the definition on </w:t>
      </w:r>
      <w:r>
        <w:rPr>
          <w:rFonts w:hint="eastAsia" w:ascii="Times New Roman" w:hAnsi="Times New Roman" w:eastAsia="等线"/>
          <w:b/>
          <w:bCs w:val="0"/>
          <w:i/>
          <w:iCs w:val="0"/>
          <w:sz w:val="20"/>
          <w:szCs w:val="20"/>
          <w:lang w:val="en-US" w:eastAsia="zh-CN"/>
        </w:rPr>
        <w:t>intra-frequency/inter-frequency measurement, measurement r</w:t>
      </w:r>
      <w:r>
        <w:rPr>
          <w:rFonts w:hint="default" w:ascii="Times New Roman" w:hAnsi="Times New Roman" w:eastAsia="等线"/>
          <w:b/>
          <w:bCs w:val="0"/>
          <w:i/>
          <w:iCs w:val="0"/>
          <w:sz w:val="20"/>
          <w:szCs w:val="20"/>
          <w:vertAlign w:val="baseline"/>
          <w:lang w:val="en-US" w:eastAsia="zh-CN"/>
        </w:rPr>
        <w:t>equirements are categorized into 4 cases: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w:t>
      </w:r>
      <w:r>
        <w:rPr>
          <w:rFonts w:hint="eastAsia" w:ascii="Times New Roman" w:hAnsi="Times New Roman" w:eastAsia="等线"/>
          <w:b/>
          <w:bCs w:val="0"/>
          <w:i/>
          <w:iCs w:val="0"/>
          <w:sz w:val="20"/>
          <w:szCs w:val="20"/>
          <w:vertAlign w:val="baseline"/>
          <w:lang w:val="en-US" w:eastAsia="zh-CN"/>
        </w:rPr>
        <w:t xml:space="preserve">, which results in complex specification and increased RAN4 workload.   </w:t>
      </w:r>
    </w:p>
    <w:p w14:paraId="6946A57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6GR, one general issue nee to be careful considered is how to handle the definition on intra-frequency/ inter-frequency measurement. Do we need the definition. If the definition is only about requirements categorization, maybe no definition is also OK. One option is that no definition on intra-frequency/ inter-frequency measurement. RRM requirements are categorized as measurement with gap and measurement without gap. </w:t>
      </w:r>
    </w:p>
    <w:p w14:paraId="0308635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11: it is proposed to discuss whether to have the definition on intra-frequency/ inter-frequency measurement in 6GR. Suggest to discuss whether following consideration is feasible</w:t>
      </w:r>
    </w:p>
    <w:p w14:paraId="15CE1B32">
      <w:pPr>
        <w:numPr>
          <w:ilvl w:val="0"/>
          <w:numId w:val="9"/>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no definition on intra-frequency/ inter-frequency measurement. RRM requirements are categorized as measurement with gap and measurement without gap </w:t>
      </w:r>
    </w:p>
    <w:p w14:paraId="064328A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NR, both L3 based mobility and L1/L2-Triggered Mobility are supported. L3 based mobility is robust, while LTM could reduce the latency, overhead. It is proposed to consider both L3 based mobility and L1/L2-Triggered Mobility from 6G day-1.</w:t>
      </w:r>
    </w:p>
    <w:p w14:paraId="1926A71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NR, L3 based mobility and L1/L2-Triggered Mobility are independent. Taking intra-frequency measurements as an example, the requirements are duplicated as following. Table 9.2.5.2-1 is the requirements for L3 based measurement, Table 9.14.5.1-1 and Table 9.14.5.1-2 are the requirements for LTM.  </w:t>
      </w:r>
    </w:p>
    <w:p w14:paraId="72E8FD41">
      <w:pPr>
        <w:pStyle w:val="25"/>
        <w:rPr>
          <w:rFonts w:hint="default" w:ascii="Times New Roman" w:hAnsi="Times New Roman" w:cs="Times New Roman"/>
          <w:sz w:val="20"/>
          <w:szCs w:val="20"/>
        </w:rPr>
      </w:pPr>
      <w:r>
        <w:rPr>
          <w:rFonts w:hint="default" w:ascii="Times New Roman" w:hAnsi="Times New Roman" w:cs="Times New Roman"/>
          <w:sz w:val="20"/>
          <w:szCs w:val="20"/>
        </w:rPr>
        <w:t>Table 9.2.5.2-1: Measurement period for intra-frequency measurements without gaps (FR1)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667F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6F489129">
            <w:pPr>
              <w:pStyle w:val="26"/>
              <w:rPr>
                <w:rFonts w:hint="default" w:ascii="Times New Roman" w:hAnsi="Times New Roman" w:cs="Times New Roman"/>
                <w:sz w:val="20"/>
                <w:szCs w:val="20"/>
              </w:rPr>
            </w:pPr>
            <w:r>
              <w:rPr>
                <w:rFonts w:hint="default" w:ascii="Times New Roman" w:hAnsi="Times New Roman" w:cs="Times New Roman"/>
                <w:sz w:val="20"/>
                <w:szCs w:val="20"/>
              </w:rPr>
              <w:t>DRX cycle</w:t>
            </w:r>
          </w:p>
        </w:tc>
        <w:tc>
          <w:tcPr>
            <w:tcW w:w="6694" w:type="dxa"/>
            <w:tcBorders>
              <w:top w:val="single" w:color="auto" w:sz="4" w:space="0"/>
              <w:left w:val="single" w:color="auto" w:sz="4" w:space="0"/>
              <w:bottom w:val="single" w:color="auto" w:sz="4" w:space="0"/>
              <w:right w:val="single" w:color="auto" w:sz="4" w:space="0"/>
            </w:tcBorders>
          </w:tcPr>
          <w:p w14:paraId="4DF5B71F">
            <w:pPr>
              <w:pStyle w:val="26"/>
              <w:rPr>
                <w:rFonts w:hint="default" w:ascii="Times New Roman" w:hAnsi="Times New Roman" w:cs="Times New Roman"/>
                <w:sz w:val="20"/>
                <w:szCs w:val="20"/>
              </w:rPr>
            </w:pP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rPr>
              <w:t>SSB_measurement_period_intra</w:t>
            </w:r>
          </w:p>
        </w:tc>
      </w:tr>
      <w:tr w14:paraId="064A5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297EEBC">
            <w:pPr>
              <w:pStyle w:val="27"/>
              <w:rPr>
                <w:rFonts w:hint="default" w:ascii="Times New Roman" w:hAnsi="Times New Roman" w:cs="Times New Roman"/>
                <w:sz w:val="20"/>
                <w:szCs w:val="20"/>
              </w:rPr>
            </w:pPr>
            <w:r>
              <w:rPr>
                <w:rFonts w:hint="default" w:ascii="Times New Roman" w:hAnsi="Times New Roman" w:cs="Times New Roman"/>
                <w:sz w:val="20"/>
                <w:szCs w:val="20"/>
              </w:rPr>
              <w:t>No DRX</w:t>
            </w:r>
          </w:p>
        </w:tc>
        <w:tc>
          <w:tcPr>
            <w:tcW w:w="6694" w:type="dxa"/>
            <w:tcBorders>
              <w:top w:val="single" w:color="auto" w:sz="4" w:space="0"/>
              <w:left w:val="single" w:color="auto" w:sz="4" w:space="0"/>
              <w:bottom w:val="single" w:color="auto" w:sz="4" w:space="0"/>
              <w:right w:val="single" w:color="auto" w:sz="4" w:space="0"/>
            </w:tcBorders>
          </w:tcPr>
          <w:p w14:paraId="09AE7EFD">
            <w:pPr>
              <w:pStyle w:val="27"/>
              <w:rPr>
                <w:rFonts w:hint="default" w:ascii="Times New Roman" w:hAnsi="Times New Roman" w:cs="Times New Roman"/>
                <w:sz w:val="20"/>
                <w:szCs w:val="20"/>
              </w:rPr>
            </w:pPr>
            <w:r>
              <w:rPr>
                <w:rFonts w:hint="default" w:ascii="Times New Roman" w:hAnsi="Times New Roman" w:cs="Times New Roman"/>
                <w:sz w:val="20"/>
                <w:szCs w:val="20"/>
              </w:rPr>
              <w:t>max(200 ms, ceil( 5 x K</w:t>
            </w:r>
            <w:r>
              <w:rPr>
                <w:rFonts w:hint="default" w:ascii="Times New Roman" w:hAnsi="Times New Roman" w:cs="Times New Roman"/>
                <w:sz w:val="20"/>
                <w:szCs w:val="20"/>
                <w:vertAlign w:val="subscript"/>
              </w:rPr>
              <w:t>p</w:t>
            </w:r>
            <w:r>
              <w:rPr>
                <w:rFonts w:hint="default" w:ascii="Times New Roman" w:hAnsi="Times New Roman" w:cs="Times New Roman"/>
                <w:sz w:val="20"/>
                <w:szCs w:val="20"/>
              </w:rPr>
              <w:t>) x SMTC period)</w:t>
            </w:r>
            <w:r>
              <w:rPr>
                <w:rFonts w:hint="default" w:ascii="Times New Roman" w:hAnsi="Times New Roman" w:cs="Times New Roman"/>
                <w:sz w:val="20"/>
                <w:szCs w:val="20"/>
                <w:vertAlign w:val="superscript"/>
              </w:rPr>
              <w:t>Note 1</w:t>
            </w:r>
            <w:r>
              <w:rPr>
                <w:rFonts w:hint="default" w:ascii="Times New Roman" w:hAnsi="Times New Roman" w:cs="Times New Roman"/>
                <w:sz w:val="20"/>
                <w:szCs w:val="20"/>
              </w:rPr>
              <w:t xml:space="preserve"> x CSSF</w:t>
            </w:r>
            <w:r>
              <w:rPr>
                <w:rFonts w:hint="default" w:ascii="Times New Roman" w:hAnsi="Times New Roman" w:cs="Times New Roman"/>
                <w:sz w:val="20"/>
                <w:szCs w:val="20"/>
                <w:vertAlign w:val="subscript"/>
              </w:rPr>
              <w:t>intra</w:t>
            </w:r>
          </w:p>
        </w:tc>
      </w:tr>
      <w:tr w14:paraId="1579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6D0A9332">
            <w:pPr>
              <w:pStyle w:val="27"/>
              <w:rPr>
                <w:rFonts w:hint="default" w:ascii="Times New Roman" w:hAnsi="Times New Roman" w:cs="Times New Roman"/>
                <w:sz w:val="20"/>
                <w:szCs w:val="20"/>
              </w:rPr>
            </w:pPr>
            <w:r>
              <w:rPr>
                <w:rFonts w:hint="default" w:ascii="Times New Roman" w:hAnsi="Times New Roman" w:cs="Times New Roman"/>
                <w:sz w:val="20"/>
                <w:szCs w:val="20"/>
              </w:rPr>
              <w:t>DRX cycle≤ 320 ms</w:t>
            </w:r>
          </w:p>
        </w:tc>
        <w:tc>
          <w:tcPr>
            <w:tcW w:w="6694" w:type="dxa"/>
            <w:tcBorders>
              <w:top w:val="single" w:color="auto" w:sz="4" w:space="0"/>
              <w:left w:val="single" w:color="auto" w:sz="4" w:space="0"/>
              <w:bottom w:val="single" w:color="auto" w:sz="4" w:space="0"/>
              <w:right w:val="single" w:color="auto" w:sz="4" w:space="0"/>
            </w:tcBorders>
          </w:tcPr>
          <w:p w14:paraId="49BDE7FD">
            <w:pPr>
              <w:pStyle w:val="27"/>
              <w:rPr>
                <w:rFonts w:hint="default" w:ascii="Times New Roman" w:hAnsi="Times New Roman" w:cs="Times New Roman"/>
                <w:b/>
                <w:sz w:val="20"/>
                <w:szCs w:val="20"/>
              </w:rPr>
            </w:pPr>
            <w:r>
              <w:rPr>
                <w:rFonts w:hint="default" w:ascii="Times New Roman" w:hAnsi="Times New Roman" w:cs="Times New Roman"/>
                <w:sz w:val="20"/>
                <w:szCs w:val="20"/>
              </w:rPr>
              <w:t>max(200 ms, ceil(1.5x 5 x K</w:t>
            </w:r>
            <w:r>
              <w:rPr>
                <w:rFonts w:hint="default" w:ascii="Times New Roman" w:hAnsi="Times New Roman" w:cs="Times New Roman"/>
                <w:sz w:val="20"/>
                <w:szCs w:val="20"/>
                <w:vertAlign w:val="subscript"/>
              </w:rPr>
              <w:t>p</w:t>
            </w:r>
            <w:r>
              <w:rPr>
                <w:rFonts w:hint="default" w:ascii="Times New Roman" w:hAnsi="Times New Roman" w:cs="Times New Roman"/>
                <w:sz w:val="20"/>
                <w:szCs w:val="20"/>
              </w:rPr>
              <w:t>) x max(SMTC period,DRX cycle)) x CSSF</w:t>
            </w:r>
            <w:r>
              <w:rPr>
                <w:rFonts w:hint="default" w:ascii="Times New Roman" w:hAnsi="Times New Roman" w:cs="Times New Roman"/>
                <w:sz w:val="20"/>
                <w:szCs w:val="20"/>
                <w:vertAlign w:val="subscript"/>
              </w:rPr>
              <w:t>intra</w:t>
            </w:r>
          </w:p>
        </w:tc>
      </w:tr>
      <w:tr w14:paraId="54FB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790C4397">
            <w:pPr>
              <w:pStyle w:val="27"/>
              <w:rPr>
                <w:rFonts w:hint="default" w:ascii="Times New Roman" w:hAnsi="Times New Roman" w:cs="Times New Roman"/>
                <w:b/>
                <w:sz w:val="20"/>
                <w:szCs w:val="20"/>
              </w:rPr>
            </w:pPr>
            <w:r>
              <w:rPr>
                <w:rFonts w:hint="default" w:ascii="Times New Roman" w:hAnsi="Times New Roman" w:cs="Times New Roman"/>
                <w:sz w:val="20"/>
                <w:szCs w:val="20"/>
              </w:rPr>
              <w:t>DRX cycle&gt;320 ms</w:t>
            </w:r>
          </w:p>
        </w:tc>
        <w:tc>
          <w:tcPr>
            <w:tcW w:w="6694" w:type="dxa"/>
            <w:tcBorders>
              <w:top w:val="single" w:color="auto" w:sz="4" w:space="0"/>
              <w:left w:val="single" w:color="auto" w:sz="4" w:space="0"/>
              <w:bottom w:val="single" w:color="auto" w:sz="4" w:space="0"/>
              <w:right w:val="single" w:color="auto" w:sz="4" w:space="0"/>
            </w:tcBorders>
          </w:tcPr>
          <w:p w14:paraId="6689F150">
            <w:pPr>
              <w:pStyle w:val="27"/>
              <w:rPr>
                <w:rFonts w:hint="default" w:ascii="Times New Roman" w:hAnsi="Times New Roman" w:cs="Times New Roman"/>
                <w:b/>
                <w:sz w:val="20"/>
                <w:szCs w:val="20"/>
              </w:rPr>
            </w:pPr>
            <w:r>
              <w:rPr>
                <w:rFonts w:hint="default" w:ascii="Times New Roman" w:hAnsi="Times New Roman" w:cs="Times New Roman"/>
                <w:sz w:val="20"/>
                <w:szCs w:val="20"/>
              </w:rPr>
              <w:t>ceil( 5 x K</w:t>
            </w:r>
            <w:r>
              <w:rPr>
                <w:rFonts w:hint="default" w:ascii="Times New Roman" w:hAnsi="Times New Roman" w:cs="Times New Roman"/>
                <w:sz w:val="20"/>
                <w:szCs w:val="20"/>
                <w:vertAlign w:val="subscript"/>
              </w:rPr>
              <w:t xml:space="preserve">p </w:t>
            </w:r>
            <w:r>
              <w:rPr>
                <w:rFonts w:hint="default" w:ascii="Times New Roman" w:hAnsi="Times New Roman" w:cs="Times New Roman"/>
                <w:sz w:val="20"/>
                <w:szCs w:val="20"/>
              </w:rPr>
              <w:t>) x DRX cycle x CSSF</w:t>
            </w:r>
            <w:r>
              <w:rPr>
                <w:rFonts w:hint="default" w:ascii="Times New Roman" w:hAnsi="Times New Roman" w:cs="Times New Roman"/>
                <w:sz w:val="20"/>
                <w:szCs w:val="20"/>
                <w:vertAlign w:val="subscript"/>
              </w:rPr>
              <w:t>intra</w:t>
            </w:r>
          </w:p>
        </w:tc>
      </w:tr>
      <w:tr w14:paraId="0E7A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DBE095D">
            <w:pPr>
              <w:pStyle w:val="29"/>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If different SMTC periodicities are configured for different cells, the SMTC period in the requirement is the one used by the cell being identified</w:t>
            </w:r>
          </w:p>
        </w:tc>
      </w:tr>
    </w:tbl>
    <w:p w14:paraId="51364A49">
      <w:pPr>
        <w:spacing w:after="180" w:line="240" w:lineRule="exact"/>
        <w:rPr>
          <w:rFonts w:hint="default" w:ascii="Times New Roman" w:hAnsi="Times New Roman" w:eastAsia="等线" w:cs="Times New Roman"/>
          <w:bCs/>
          <w:iCs/>
          <w:sz w:val="20"/>
          <w:szCs w:val="20"/>
          <w:lang w:val="en-US" w:eastAsia="zh-CN"/>
        </w:rPr>
      </w:pPr>
    </w:p>
    <w:p w14:paraId="0E929D6D">
      <w:pPr>
        <w:pStyle w:val="25"/>
        <w:rPr>
          <w:rFonts w:hint="default" w:ascii="Times New Roman" w:hAnsi="Times New Roman" w:cs="Times New Roman"/>
          <w:sz w:val="20"/>
          <w:szCs w:val="20"/>
        </w:rPr>
      </w:pPr>
      <w:r>
        <w:rPr>
          <w:rFonts w:hint="default" w:ascii="Times New Roman" w:hAnsi="Times New Roman" w:cs="Times New Roman"/>
          <w:sz w:val="20"/>
          <w:szCs w:val="20"/>
        </w:rPr>
        <w:t>Table 9.14.5.1-1: Intra-frequency L1-RSRP measurement period T</w:t>
      </w:r>
      <w:r>
        <w:rPr>
          <w:rFonts w:hint="default" w:ascii="Times New Roman" w:hAnsi="Times New Roman" w:cs="Times New Roman"/>
          <w:sz w:val="20"/>
          <w:szCs w:val="20"/>
          <w:vertAlign w:val="subscript"/>
        </w:rPr>
        <w:t>L1-RSRP_Measurement_Period_SSB_intra</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in</w:t>
      </w:r>
      <w:r>
        <w:rPr>
          <w:rFonts w:hint="default" w:ascii="Times New Roman" w:hAnsi="Times New Roman" w:cs="Times New Roman"/>
          <w:sz w:val="20"/>
          <w:szCs w:val="20"/>
        </w:rPr>
        <w:t xml:space="preserve"> FR1 for UE incapable of </w:t>
      </w:r>
      <w:r>
        <w:rPr>
          <w:rFonts w:hint="default" w:ascii="Times New Roman" w:hAnsi="Times New Roman" w:cs="Times New Roman"/>
          <w:i/>
          <w:iCs/>
          <w:sz w:val="20"/>
          <w:szCs w:val="20"/>
        </w:rPr>
        <w:t>multiCellL1-measRTD-greaterThan-CP-r18</w:t>
      </w:r>
      <w:r>
        <w:rPr>
          <w:rFonts w:hint="default" w:ascii="Times New Roman" w:hAnsi="Times New Roman" w:eastAsia="?? ??" w:cs="Times New Roman"/>
          <w:sz w:val="20"/>
          <w:szCs w:val="20"/>
        </w:rPr>
        <w:t xml:space="preserve"> </w:t>
      </w:r>
    </w:p>
    <w:tbl>
      <w:tblPr>
        <w:tblStyle w:val="13"/>
        <w:tblW w:w="43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47"/>
        <w:gridCol w:w="5185"/>
      </w:tblGrid>
      <w:tr w14:paraId="4C5A5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29AE19CB">
            <w:pPr>
              <w:pStyle w:val="26"/>
              <w:rPr>
                <w:rFonts w:hint="default" w:ascii="Times New Roman" w:hAnsi="Times New Roman" w:cs="Times New Roman"/>
                <w:sz w:val="20"/>
                <w:szCs w:val="20"/>
              </w:rPr>
            </w:pPr>
            <w:r>
              <w:rPr>
                <w:rFonts w:hint="default" w:ascii="Times New Roman" w:hAnsi="Times New Roman" w:cs="Times New Roman"/>
                <w:sz w:val="20"/>
                <w:szCs w:val="20"/>
              </w:rPr>
              <w:t>Configuration</w:t>
            </w:r>
          </w:p>
        </w:tc>
        <w:tc>
          <w:tcPr>
            <w:tcW w:w="3228" w:type="pct"/>
            <w:tcBorders>
              <w:top w:val="single" w:color="auto" w:sz="4" w:space="0"/>
              <w:left w:val="single" w:color="auto" w:sz="4" w:space="0"/>
              <w:bottom w:val="single" w:color="auto" w:sz="4" w:space="0"/>
              <w:right w:val="single" w:color="auto" w:sz="4" w:space="0"/>
            </w:tcBorders>
          </w:tcPr>
          <w:p w14:paraId="17204742">
            <w:pPr>
              <w:pStyle w:val="26"/>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L1-RSRP_Measurement_Period_SSB_intra</w:t>
            </w:r>
            <w:r>
              <w:rPr>
                <w:rFonts w:hint="default" w:ascii="Times New Roman" w:hAnsi="Times New Roman" w:cs="Times New Roman"/>
                <w:sz w:val="20"/>
                <w:szCs w:val="20"/>
              </w:rPr>
              <w:t xml:space="preserve"> (ms) </w:t>
            </w:r>
          </w:p>
        </w:tc>
      </w:tr>
      <w:tr w14:paraId="05D7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420FB2DB">
            <w:pPr>
              <w:pStyle w:val="27"/>
              <w:rPr>
                <w:rFonts w:hint="default" w:ascii="Times New Roman" w:hAnsi="Times New Roman" w:cs="Times New Roman"/>
                <w:sz w:val="20"/>
                <w:szCs w:val="20"/>
              </w:rPr>
            </w:pPr>
            <w:r>
              <w:rPr>
                <w:rFonts w:hint="default" w:ascii="Times New Roman" w:hAnsi="Times New Roman" w:cs="Times New Roman"/>
                <w:sz w:val="20"/>
                <w:szCs w:val="20"/>
              </w:rPr>
              <w:t>non-DRX</w:t>
            </w:r>
          </w:p>
        </w:tc>
        <w:tc>
          <w:tcPr>
            <w:tcW w:w="3228" w:type="pct"/>
            <w:tcBorders>
              <w:top w:val="single" w:color="auto" w:sz="4" w:space="0"/>
              <w:left w:val="single" w:color="auto" w:sz="4" w:space="0"/>
              <w:bottom w:val="single" w:color="auto" w:sz="4" w:space="0"/>
              <w:right w:val="single" w:color="auto" w:sz="4" w:space="0"/>
            </w:tcBorders>
          </w:tcPr>
          <w:p w14:paraId="6F4D5C37">
            <w:pPr>
              <w:pStyle w:val="27"/>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ceil(M*P)*T</w:t>
            </w:r>
            <w:r>
              <w:rPr>
                <w:rFonts w:hint="default" w:ascii="Times New Roman" w:hAnsi="Times New Roman" w:cs="Times New Roman"/>
                <w:sz w:val="20"/>
                <w:szCs w:val="20"/>
                <w:vertAlign w:val="subscript"/>
              </w:rPr>
              <w:t>SSB_NBC</w:t>
            </w:r>
            <w:r>
              <w:rPr>
                <w:rFonts w:hint="default" w:ascii="Times New Roman" w:hAnsi="Times New Roman" w:cs="Times New Roman"/>
                <w:sz w:val="20"/>
                <w:szCs w:val="20"/>
              </w:rPr>
              <w:t>)</w:t>
            </w:r>
          </w:p>
        </w:tc>
      </w:tr>
      <w:tr w14:paraId="5506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39BA8C16">
            <w:pPr>
              <w:pStyle w:val="27"/>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3228" w:type="pct"/>
            <w:tcBorders>
              <w:top w:val="single" w:color="auto" w:sz="4" w:space="0"/>
              <w:left w:val="single" w:color="auto" w:sz="4" w:space="0"/>
              <w:bottom w:val="single" w:color="auto" w:sz="4" w:space="0"/>
              <w:right w:val="single" w:color="auto" w:sz="4" w:space="0"/>
            </w:tcBorders>
          </w:tcPr>
          <w:p w14:paraId="449CF8EA">
            <w:pPr>
              <w:pStyle w:val="27"/>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ceil(K *M*P)*max(T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SSB_NBC</w:t>
            </w:r>
            <w:r>
              <w:rPr>
                <w:rFonts w:hint="default" w:ascii="Times New Roman" w:hAnsi="Times New Roman" w:cs="Times New Roman"/>
                <w:sz w:val="20"/>
                <w:szCs w:val="20"/>
              </w:rPr>
              <w:t>))</w:t>
            </w:r>
          </w:p>
        </w:tc>
      </w:tr>
      <w:tr w14:paraId="589B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63A5051F">
            <w:pPr>
              <w:pStyle w:val="27"/>
              <w:rPr>
                <w:rFonts w:hint="default" w:ascii="Times New Roman" w:hAnsi="Times New Roman" w:cs="Times New Roman"/>
                <w:sz w:val="20"/>
                <w:szCs w:val="20"/>
              </w:rPr>
            </w:pPr>
            <w:r>
              <w:rPr>
                <w:rFonts w:hint="default" w:ascii="Times New Roman" w:hAnsi="Times New Roman" w:cs="Times New Roman"/>
                <w:sz w:val="20"/>
                <w:szCs w:val="20"/>
              </w:rPr>
              <w:t>DRX cycle &gt; 320 ms</w:t>
            </w:r>
          </w:p>
        </w:tc>
        <w:tc>
          <w:tcPr>
            <w:tcW w:w="3228" w:type="pct"/>
            <w:tcBorders>
              <w:top w:val="single" w:color="auto" w:sz="4" w:space="0"/>
              <w:left w:val="single" w:color="auto" w:sz="4" w:space="0"/>
              <w:bottom w:val="single" w:color="auto" w:sz="4" w:space="0"/>
              <w:right w:val="single" w:color="auto" w:sz="4" w:space="0"/>
            </w:tcBorders>
          </w:tcPr>
          <w:p w14:paraId="4CC264A1">
            <w:pPr>
              <w:pStyle w:val="27"/>
              <w:rPr>
                <w:rFonts w:hint="default" w:ascii="Times New Roman" w:hAnsi="Times New Roman" w:cs="Times New Roman"/>
                <w:sz w:val="20"/>
                <w:szCs w:val="20"/>
              </w:rPr>
            </w:pPr>
            <w:r>
              <w:rPr>
                <w:rFonts w:hint="default" w:ascii="Times New Roman" w:hAnsi="Times New Roman" w:cs="Times New Roman"/>
                <w:sz w:val="20"/>
                <w:szCs w:val="20"/>
              </w:rPr>
              <w:t>ceil(M*P)*T</w:t>
            </w:r>
            <w:r>
              <w:rPr>
                <w:rFonts w:hint="default" w:ascii="Times New Roman" w:hAnsi="Times New Roman" w:cs="Times New Roman"/>
                <w:sz w:val="20"/>
                <w:szCs w:val="20"/>
                <w:vertAlign w:val="subscript"/>
              </w:rPr>
              <w:t>DRX</w:t>
            </w:r>
          </w:p>
        </w:tc>
      </w:tr>
      <w:tr w14:paraId="2932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5C4BF954">
            <w:pPr>
              <w:pStyle w:val="29"/>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SSB_NBC </w:t>
            </w:r>
            <w:r>
              <w:rPr>
                <w:rFonts w:hint="default" w:ascii="Times New Roman" w:hAnsi="Times New Roman" w:cs="Times New Roman"/>
                <w:sz w:val="20"/>
                <w:szCs w:val="20"/>
              </w:rPr>
              <w:t>is the periodicity of the neighbor cell SSB-Index configured for intra-frequency L1-RSRP measurement. 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 xml:space="preserve"> is the DRX cycle length. 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xml:space="preserve"> is the configured periodicity for reporting.</w:t>
            </w:r>
          </w:p>
          <w:p w14:paraId="69A8F3AA">
            <w:pPr>
              <w:pStyle w:val="29"/>
              <w:rPr>
                <w:rFonts w:hint="default" w:ascii="Times New Roman" w:hAnsi="Times New Roman" w:cs="Times New Roman"/>
                <w:sz w:val="20"/>
                <w:szCs w:val="20"/>
              </w:rPr>
            </w:pPr>
            <w:r>
              <w:rPr>
                <w:rFonts w:hint="default" w:ascii="Times New Roman" w:hAnsi="Times New Roman" w:cs="Times New Roman"/>
                <w:sz w:val="20"/>
                <w:szCs w:val="20"/>
              </w:rPr>
              <w:t>NOTE 2:</w:t>
            </w:r>
            <w:r>
              <w:rPr>
                <w:rFonts w:hint="default" w:ascii="Times New Roman" w:hAnsi="Times New Roman" w:cs="Times New Roman"/>
                <w:sz w:val="20"/>
                <w:szCs w:val="20"/>
              </w:rPr>
              <w:tab/>
            </w:r>
            <w:r>
              <w:rPr>
                <w:rFonts w:hint="default" w:ascii="Times New Roman" w:hAnsi="Times New Roman" w:cs="Times New Roman"/>
                <w:sz w:val="20"/>
                <w:szCs w:val="20"/>
              </w:rPr>
              <w:t>K = 1.5.</w:t>
            </w:r>
          </w:p>
          <w:p w14:paraId="1198AD08">
            <w:pPr>
              <w:pStyle w:val="29"/>
              <w:rPr>
                <w:rFonts w:hint="default" w:ascii="Times New Roman" w:hAnsi="Times New Roman" w:cs="Times New Roman"/>
                <w:i/>
                <w:sz w:val="20"/>
                <w:szCs w:val="20"/>
                <w:lang w:eastAsia="zh-CN"/>
              </w:rPr>
            </w:pPr>
            <w:r>
              <w:rPr>
                <w:rFonts w:hint="default" w:ascii="Times New Roman" w:hAnsi="Times New Roman" w:cs="Times New Roman"/>
                <w:sz w:val="20"/>
                <w:szCs w:val="20"/>
              </w:rPr>
              <w:t>NOTE</w:t>
            </w:r>
            <w:r>
              <w:rPr>
                <w:rFonts w:hint="default" w:ascii="Times New Roman" w:hAnsi="Times New Roman" w:cs="Times New Roman"/>
                <w:sz w:val="20"/>
                <w:szCs w:val="20"/>
                <w:lang w:eastAsia="zh-CN"/>
              </w:rPr>
              <w:t xml:space="preserve"> 3: </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eastAsia="?? ??" w:cs="Times New Roman"/>
                <w:sz w:val="20"/>
                <w:szCs w:val="20"/>
              </w:rPr>
              <w:t xml:space="preserve">he requirements apply </w:t>
            </w:r>
            <w:r>
              <w:rPr>
                <w:rFonts w:hint="default" w:ascii="Times New Roman" w:hAnsi="Times New Roman" w:cs="Times New Roman"/>
                <w:sz w:val="20"/>
                <w:szCs w:val="20"/>
              </w:rPr>
              <w:t xml:space="preserve">when the max RTD between the serving cell and any candidate cell on which UE is required to perform </w:t>
            </w:r>
            <w:r>
              <w:rPr>
                <w:rFonts w:hint="default" w:ascii="Times New Roman" w:hAnsi="Times New Roman" w:cs="Times New Roman"/>
                <w:bCs/>
                <w:sz w:val="20"/>
                <w:szCs w:val="20"/>
              </w:rPr>
              <w:t>L1-RSRP</w:t>
            </w:r>
            <w:r>
              <w:rPr>
                <w:rFonts w:hint="default" w:ascii="Times New Roman" w:hAnsi="Times New Roman" w:cs="Times New Roman"/>
                <w:sz w:val="20"/>
                <w:szCs w:val="20"/>
              </w:rPr>
              <w:t xml:space="preserve"> measurement on the same frequency layer is not larger than CP length of the cell on the frequency layer.</w:t>
            </w:r>
          </w:p>
        </w:tc>
      </w:tr>
    </w:tbl>
    <w:p w14:paraId="1D99A51C">
      <w:pPr>
        <w:rPr>
          <w:rFonts w:hint="default" w:ascii="Times New Roman" w:hAnsi="Times New Roman" w:cs="Times New Roman"/>
          <w:sz w:val="20"/>
          <w:szCs w:val="20"/>
          <w:lang w:eastAsia="zh-CN"/>
        </w:rPr>
      </w:pPr>
    </w:p>
    <w:p w14:paraId="2A5FDA78">
      <w:pPr>
        <w:pStyle w:val="25"/>
        <w:rPr>
          <w:rFonts w:hint="default" w:ascii="Times New Roman" w:hAnsi="Times New Roman" w:cs="Times New Roman"/>
          <w:sz w:val="20"/>
          <w:szCs w:val="20"/>
        </w:rPr>
      </w:pPr>
      <w:r>
        <w:rPr>
          <w:rFonts w:hint="default" w:ascii="Times New Roman" w:hAnsi="Times New Roman" w:cs="Times New Roman"/>
          <w:sz w:val="20"/>
          <w:szCs w:val="20"/>
        </w:rPr>
        <w:t>Table 9.14.5.1-2: Intra-frequency L1-RSRP measurement period T</w:t>
      </w:r>
      <w:r>
        <w:rPr>
          <w:rFonts w:hint="default" w:ascii="Times New Roman" w:hAnsi="Times New Roman" w:cs="Times New Roman"/>
          <w:sz w:val="20"/>
          <w:szCs w:val="20"/>
          <w:vertAlign w:val="subscript"/>
        </w:rPr>
        <w:t>L1-RSRP_Measurement_Period_SSB_intra</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in</w:t>
      </w:r>
      <w:r>
        <w:rPr>
          <w:rFonts w:hint="default" w:ascii="Times New Roman" w:hAnsi="Times New Roman" w:cs="Times New Roman"/>
          <w:sz w:val="20"/>
          <w:szCs w:val="20"/>
        </w:rPr>
        <w:t xml:space="preserve"> FR1 for UE capable of </w:t>
      </w:r>
      <w:r>
        <w:rPr>
          <w:rFonts w:hint="default" w:ascii="Times New Roman" w:hAnsi="Times New Roman" w:cs="Times New Roman"/>
          <w:i/>
          <w:iCs/>
          <w:sz w:val="20"/>
          <w:szCs w:val="20"/>
        </w:rPr>
        <w:t>multiCellL1-measRTD-greaterThan-CP-r18</w:t>
      </w:r>
      <w:r>
        <w:rPr>
          <w:rFonts w:hint="default" w:ascii="Times New Roman" w:hAnsi="Times New Roman" w:eastAsia="?? ??" w:cs="Times New Roman"/>
          <w:sz w:val="20"/>
          <w:szCs w:val="20"/>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64C4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A4D0962">
            <w:pPr>
              <w:pStyle w:val="26"/>
              <w:rPr>
                <w:rFonts w:hint="default" w:ascii="Times New Roman" w:hAnsi="Times New Roman" w:cs="Times New Roman"/>
                <w:sz w:val="20"/>
                <w:szCs w:val="20"/>
              </w:rPr>
            </w:pPr>
            <w:r>
              <w:rPr>
                <w:rFonts w:hint="default" w:ascii="Times New Roman" w:hAnsi="Times New Roman" w:cs="Times New Roman"/>
                <w:sz w:val="20"/>
                <w:szCs w:val="20"/>
              </w:rPr>
              <w:t>Configuration</w:t>
            </w:r>
          </w:p>
        </w:tc>
        <w:tc>
          <w:tcPr>
            <w:tcW w:w="4582" w:type="dxa"/>
            <w:tcBorders>
              <w:top w:val="single" w:color="auto" w:sz="4" w:space="0"/>
              <w:left w:val="single" w:color="auto" w:sz="4" w:space="0"/>
              <w:bottom w:val="single" w:color="auto" w:sz="4" w:space="0"/>
              <w:right w:val="single" w:color="auto" w:sz="4" w:space="0"/>
            </w:tcBorders>
          </w:tcPr>
          <w:p w14:paraId="386DBBA2">
            <w:pPr>
              <w:pStyle w:val="26"/>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L1-RSRP_Measurement_Period_SSB_intra</w:t>
            </w:r>
            <w:r>
              <w:rPr>
                <w:rFonts w:hint="default" w:ascii="Times New Roman" w:hAnsi="Times New Roman" w:cs="Times New Roman"/>
                <w:sz w:val="20"/>
                <w:szCs w:val="20"/>
              </w:rPr>
              <w:t xml:space="preserve"> (ms) </w:t>
            </w:r>
          </w:p>
        </w:tc>
      </w:tr>
      <w:tr w14:paraId="7EF6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1BA3E0A">
            <w:pPr>
              <w:pStyle w:val="27"/>
              <w:rPr>
                <w:rFonts w:hint="default" w:ascii="Times New Roman" w:hAnsi="Times New Roman" w:cs="Times New Roman"/>
                <w:sz w:val="20"/>
                <w:szCs w:val="20"/>
              </w:rPr>
            </w:pPr>
            <w:r>
              <w:rPr>
                <w:rFonts w:hint="default" w:ascii="Times New Roman" w:hAnsi="Times New Roman" w:cs="Times New Roman"/>
                <w:sz w:val="20"/>
                <w:szCs w:val="20"/>
              </w:rPr>
              <w:t>non-DRX</w:t>
            </w:r>
          </w:p>
        </w:tc>
        <w:tc>
          <w:tcPr>
            <w:tcW w:w="4582" w:type="dxa"/>
            <w:tcBorders>
              <w:top w:val="single" w:color="auto" w:sz="4" w:space="0"/>
              <w:left w:val="single" w:color="auto" w:sz="4" w:space="0"/>
              <w:bottom w:val="single" w:color="auto" w:sz="4" w:space="0"/>
              <w:right w:val="single" w:color="auto" w:sz="4" w:space="0"/>
            </w:tcBorders>
          </w:tcPr>
          <w:p w14:paraId="70EAE8E9">
            <w:pPr>
              <w:pStyle w:val="27"/>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ceil(M*P)*T</w:t>
            </w:r>
            <w:r>
              <w:rPr>
                <w:rFonts w:hint="default" w:ascii="Times New Roman" w:hAnsi="Times New Roman" w:cs="Times New Roman"/>
                <w:sz w:val="20"/>
                <w:szCs w:val="20"/>
                <w:vertAlign w:val="subscript"/>
              </w:rPr>
              <w:t>SSB_NBC</w:t>
            </w:r>
            <w:r>
              <w:rPr>
                <w:rFonts w:hint="default" w:ascii="Times New Roman" w:hAnsi="Times New Roman" w:cs="Times New Roman"/>
                <w:sz w:val="20"/>
                <w:szCs w:val="20"/>
              </w:rPr>
              <w:t>*N</w:t>
            </w:r>
            <w:r>
              <w:rPr>
                <w:rFonts w:hint="default" w:ascii="Times New Roman" w:hAnsi="Times New Roman" w:cs="Times New Roman"/>
                <w:sz w:val="20"/>
                <w:szCs w:val="20"/>
                <w:vertAlign w:val="subscript"/>
              </w:rPr>
              <w:t>Layer</w:t>
            </w:r>
            <w:r>
              <w:rPr>
                <w:rFonts w:hint="default" w:ascii="Times New Roman" w:hAnsi="Times New Roman" w:cs="Times New Roman"/>
                <w:sz w:val="20"/>
                <w:szCs w:val="20"/>
              </w:rPr>
              <w:t>)</w:t>
            </w:r>
          </w:p>
        </w:tc>
      </w:tr>
      <w:tr w14:paraId="16CB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429761A">
            <w:pPr>
              <w:pStyle w:val="27"/>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4582" w:type="dxa"/>
            <w:tcBorders>
              <w:top w:val="single" w:color="auto" w:sz="4" w:space="0"/>
              <w:left w:val="single" w:color="auto" w:sz="4" w:space="0"/>
              <w:bottom w:val="single" w:color="auto" w:sz="4" w:space="0"/>
              <w:right w:val="single" w:color="auto" w:sz="4" w:space="0"/>
            </w:tcBorders>
          </w:tcPr>
          <w:p w14:paraId="05A49A97">
            <w:pPr>
              <w:pStyle w:val="27"/>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ceil(K *M*P)*max(T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SSB_NBC</w:t>
            </w:r>
            <w:r>
              <w:rPr>
                <w:rFonts w:hint="default" w:ascii="Times New Roman" w:hAnsi="Times New Roman" w:cs="Times New Roman"/>
                <w:sz w:val="20"/>
                <w:szCs w:val="20"/>
              </w:rPr>
              <w:t>) *N</w:t>
            </w:r>
            <w:r>
              <w:rPr>
                <w:rFonts w:hint="default" w:ascii="Times New Roman" w:hAnsi="Times New Roman" w:cs="Times New Roman"/>
                <w:sz w:val="20"/>
                <w:szCs w:val="20"/>
                <w:vertAlign w:val="subscript"/>
              </w:rPr>
              <w:t>Layer</w:t>
            </w:r>
            <w:r>
              <w:rPr>
                <w:rFonts w:hint="default" w:ascii="Times New Roman" w:hAnsi="Times New Roman" w:cs="Times New Roman"/>
                <w:sz w:val="20"/>
                <w:szCs w:val="20"/>
              </w:rPr>
              <w:t>)</w:t>
            </w:r>
          </w:p>
        </w:tc>
      </w:tr>
      <w:tr w14:paraId="2E02C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0C30C21">
            <w:pPr>
              <w:pStyle w:val="27"/>
              <w:rPr>
                <w:rFonts w:hint="default" w:ascii="Times New Roman" w:hAnsi="Times New Roman" w:cs="Times New Roman"/>
                <w:sz w:val="20"/>
                <w:szCs w:val="20"/>
              </w:rPr>
            </w:pPr>
            <w:r>
              <w:rPr>
                <w:rFonts w:hint="default" w:ascii="Times New Roman" w:hAnsi="Times New Roman" w:cs="Times New Roman"/>
                <w:sz w:val="20"/>
                <w:szCs w:val="20"/>
              </w:rPr>
              <w:t>DRX cycle &gt; 320 ms</w:t>
            </w:r>
          </w:p>
        </w:tc>
        <w:tc>
          <w:tcPr>
            <w:tcW w:w="4582" w:type="dxa"/>
            <w:tcBorders>
              <w:top w:val="single" w:color="auto" w:sz="4" w:space="0"/>
              <w:left w:val="single" w:color="auto" w:sz="4" w:space="0"/>
              <w:bottom w:val="single" w:color="auto" w:sz="4" w:space="0"/>
              <w:right w:val="single" w:color="auto" w:sz="4" w:space="0"/>
            </w:tcBorders>
          </w:tcPr>
          <w:p w14:paraId="25B50EBA">
            <w:pPr>
              <w:pStyle w:val="27"/>
              <w:rPr>
                <w:rFonts w:hint="default" w:ascii="Times New Roman" w:hAnsi="Times New Roman" w:cs="Times New Roman"/>
                <w:sz w:val="20"/>
                <w:szCs w:val="20"/>
              </w:rPr>
            </w:pPr>
            <w:r>
              <w:rPr>
                <w:rFonts w:hint="default" w:ascii="Times New Roman" w:hAnsi="Times New Roman" w:cs="Times New Roman"/>
                <w:sz w:val="20"/>
                <w:szCs w:val="20"/>
              </w:rPr>
              <w:t>ceil(M*P)*T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*N</w:t>
            </w:r>
            <w:r>
              <w:rPr>
                <w:rFonts w:hint="default" w:ascii="Times New Roman" w:hAnsi="Times New Roman" w:cs="Times New Roman"/>
                <w:sz w:val="20"/>
                <w:szCs w:val="20"/>
                <w:vertAlign w:val="subscript"/>
              </w:rPr>
              <w:t>Layer</w:t>
            </w:r>
          </w:p>
        </w:tc>
      </w:tr>
      <w:tr w14:paraId="7797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5BFB09F0">
            <w:pPr>
              <w:pStyle w:val="29"/>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SSB_NBC </w:t>
            </w:r>
            <w:r>
              <w:rPr>
                <w:rFonts w:hint="default" w:ascii="Times New Roman" w:hAnsi="Times New Roman" w:cs="Times New Roman"/>
                <w:sz w:val="20"/>
                <w:szCs w:val="20"/>
              </w:rPr>
              <w:t>is the periodicity of the neighbor cell SSB-Index configured for intra-frequency L1-RSRP measurement. 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 xml:space="preserve"> is the DRX cycle length. 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xml:space="preserve"> is the configured periodicity for reporting.  N</w:t>
            </w:r>
            <w:r>
              <w:rPr>
                <w:rFonts w:hint="default" w:ascii="Times New Roman" w:hAnsi="Times New Roman" w:cs="Times New Roman"/>
                <w:sz w:val="20"/>
                <w:szCs w:val="20"/>
                <w:vertAlign w:val="subscript"/>
              </w:rPr>
              <w:t xml:space="preserve">Layer </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the number of intra-frequency layers configured for L1-RSRP measurement with </w:t>
            </w:r>
            <w:r>
              <w:rPr>
                <w:rFonts w:hint="default" w:ascii="Times New Roman" w:hAnsi="Times New Roman" w:cs="Times New Roman"/>
                <w:i/>
                <w:iCs/>
                <w:sz w:val="20"/>
                <w:szCs w:val="20"/>
              </w:rPr>
              <w:t>LTM-CSI-ResourceConfig-r18</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the number of int</w:t>
            </w:r>
            <w:r>
              <w:rPr>
                <w:rFonts w:hint="default" w:ascii="Times New Roman" w:hAnsi="Times New Roman" w:cs="Times New Roman"/>
                <w:sz w:val="20"/>
                <w:szCs w:val="20"/>
                <w:lang w:eastAsia="zh-CN"/>
              </w:rPr>
              <w:t>er</w:t>
            </w:r>
            <w:r>
              <w:rPr>
                <w:rFonts w:hint="default" w:ascii="Times New Roman" w:hAnsi="Times New Roman" w:cs="Times New Roman"/>
                <w:sz w:val="20"/>
                <w:szCs w:val="20"/>
              </w:rPr>
              <w:t>-frequency layers</w:t>
            </w:r>
            <w:r>
              <w:rPr>
                <w:rFonts w:hint="default" w:ascii="Times New Roman" w:hAnsi="Times New Roman" w:cs="Times New Roman"/>
                <w:sz w:val="20"/>
                <w:szCs w:val="20"/>
                <w:lang w:eastAsia="zh-CN"/>
              </w:rPr>
              <w:t xml:space="preserve"> without measurement gaps</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xml:space="preserve">which are </w:t>
            </w:r>
            <w:r>
              <w:rPr>
                <w:rFonts w:hint="default" w:ascii="Times New Roman" w:hAnsi="Times New Roman" w:cs="Times New Roman"/>
                <w:sz w:val="20"/>
                <w:szCs w:val="20"/>
              </w:rPr>
              <w:t xml:space="preserve">configured for L1-RSRP measurement with </w:t>
            </w:r>
            <w:r>
              <w:rPr>
                <w:rFonts w:hint="default" w:ascii="Times New Roman" w:hAnsi="Times New Roman" w:cs="Times New Roman"/>
                <w:i/>
                <w:iCs/>
                <w:sz w:val="20"/>
                <w:szCs w:val="20"/>
              </w:rPr>
              <w:t>LTM-CSI-ResourceConfig-r18</w:t>
            </w:r>
            <w:r>
              <w:rPr>
                <w:rFonts w:hint="default" w:ascii="Times New Roman" w:hAnsi="Times New Roman" w:cs="Times New Roman"/>
                <w:sz w:val="20"/>
                <w:szCs w:val="20"/>
              </w:rPr>
              <w:t>.</w:t>
            </w:r>
          </w:p>
          <w:p w14:paraId="48B9295C">
            <w:pPr>
              <w:pStyle w:val="29"/>
              <w:rPr>
                <w:rFonts w:hint="default" w:ascii="Times New Roman" w:hAnsi="Times New Roman" w:cs="Times New Roman"/>
                <w:sz w:val="20"/>
                <w:szCs w:val="20"/>
              </w:rPr>
            </w:pPr>
            <w:r>
              <w:rPr>
                <w:rFonts w:hint="default" w:ascii="Times New Roman" w:hAnsi="Times New Roman" w:cs="Times New Roman"/>
                <w:sz w:val="20"/>
                <w:szCs w:val="20"/>
              </w:rPr>
              <w:t>NOTE 2:</w:t>
            </w:r>
            <w:r>
              <w:rPr>
                <w:rFonts w:hint="default" w:ascii="Times New Roman" w:hAnsi="Times New Roman" w:cs="Times New Roman"/>
                <w:sz w:val="20"/>
                <w:szCs w:val="20"/>
              </w:rPr>
              <w:tab/>
            </w:r>
            <w:r>
              <w:rPr>
                <w:rFonts w:hint="default" w:ascii="Times New Roman" w:hAnsi="Times New Roman" w:cs="Times New Roman"/>
                <w:sz w:val="20"/>
                <w:szCs w:val="20"/>
              </w:rPr>
              <w:t>K = 1.5.</w:t>
            </w:r>
          </w:p>
          <w:p w14:paraId="64464A29">
            <w:pPr>
              <w:pStyle w:val="29"/>
              <w:rPr>
                <w:rFonts w:hint="default" w:ascii="Times New Roman" w:hAnsi="Times New Roman" w:cs="Times New Roman"/>
                <w:iCs/>
                <w:sz w:val="20"/>
                <w:szCs w:val="20"/>
              </w:rPr>
            </w:pPr>
            <w:r>
              <w:rPr>
                <w:rFonts w:hint="default" w:ascii="Times New Roman" w:hAnsi="Times New Roman" w:cs="Times New Roman"/>
                <w:sz w:val="20"/>
                <w:szCs w:val="20"/>
              </w:rPr>
              <w:t>NOTE</w:t>
            </w:r>
            <w:r>
              <w:rPr>
                <w:rFonts w:hint="default" w:ascii="Times New Roman" w:hAnsi="Times New Roman" w:cs="Times New Roman"/>
                <w:iCs/>
                <w:sz w:val="20"/>
                <w:szCs w:val="20"/>
                <w:lang w:eastAsia="zh-CN"/>
              </w:rPr>
              <w:t xml:space="preserve"> 3:</w:t>
            </w:r>
            <w:r>
              <w:rPr>
                <w:rFonts w:hint="default" w:ascii="Times New Roman" w:hAnsi="Times New Roman" w:cs="Times New Roman"/>
                <w:sz w:val="20"/>
                <w:szCs w:val="20"/>
              </w:rPr>
              <w:tab/>
            </w:r>
            <w:r>
              <w:rPr>
                <w:rFonts w:hint="default" w:ascii="Times New Roman" w:hAnsi="Times New Roman" w:cs="Times New Roman"/>
                <w:sz w:val="20"/>
                <w:szCs w:val="20"/>
              </w:rPr>
              <w:t>UE shall at least measure neighbour cells which have at least one TCI state on the LTM candidate cell active TCI state list within UE capability and additional cells to measure is up to UE implementation.</w:t>
            </w:r>
          </w:p>
        </w:tc>
      </w:tr>
    </w:tbl>
    <w:p w14:paraId="5B3B329F">
      <w:pPr>
        <w:spacing w:after="180" w:line="240" w:lineRule="exact"/>
        <w:rPr>
          <w:rFonts w:hint="eastAsia" w:ascii="Times New Roman" w:hAnsi="Times New Roman" w:eastAsia="等线"/>
          <w:bCs/>
          <w:iCs/>
          <w:sz w:val="20"/>
          <w:szCs w:val="20"/>
          <w:lang w:val="en-US" w:eastAsia="zh-CN"/>
        </w:rPr>
      </w:pPr>
    </w:p>
    <w:p w14:paraId="50F3CF8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can be seen that the requirements are defined differently with different assumption, e.g. the whether to differentiate the relationship between RTD and CP, whether to scale with the number of intra-frequency layers. The L1 measurement delay may be even longer than L3 measurement delay. And it is also possible that UE supporting L3 measurement may not support L1 measurement for mobility.</w:t>
      </w:r>
    </w:p>
    <w:p w14:paraId="7F31E2E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Treating L3 based mobility and LTM separately results in a lot issues. The requirements are complex. UE behaviour is inconsistent. And additional UE power consumption is introduced due to redundant measurement. To avoid these issue, it is proposed to consider unified measurement framework for L3 measurement and L1 measurement for mobility.</w:t>
      </w:r>
    </w:p>
    <w:p w14:paraId="6D0C969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discussion in last meeting, some companies think this issue is pending on RAN1/2 design. We have different views. Our motivation is to unify UE measurement behaviour, not about configuration or RS design. It is expected that UE measurement behaviour are unified no matter the measurement purpose, e.g. UE perform RS measurement with fine beam, and the measured results can be further used to derive the target results requested by the measurement purpose.   </w:t>
      </w:r>
    </w:p>
    <w:p w14:paraId="1B9383B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12:  for L3 measurement and L1 measurement for mobility, from the perspective of UE measurement, it is proposed to consider unified measurement framework and define unified measurement requirements.</w:t>
      </w:r>
    </w:p>
    <w:p w14:paraId="778A38D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RLM, BFD, CBD are necessary functionalities to guarantee the radio link quality. However, the RLM, BFD, CBD are treated independently in NR. </w:t>
      </w:r>
    </w:p>
    <w:p w14:paraId="6FA2F13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detail, RLM is performed on RLM-RS resources. On each RLM-RS resource, the UE shall estimate the downlink radio link quality and compare it to the thresholds Qout and Qin. The threshold Qout is defined as the level at which the downlink radio link cannot be reliably received and the out-of-sync block error rate (BLERout) is 10%. The threshold Qin is defined as the level at which the downlink radio link quality can be received with significantly higher reliability than at Qout and the in-sync block error rate (BLERin) is 2%. Both thresholds are derived based on the hypothetical PDCCH transmission parameters. The evaluation period for in-sync is based on 5 samples, and the evaluation period for out-of-sync is based on 10 samples.</w:t>
      </w:r>
    </w:p>
    <w:p w14:paraId="24F1750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w:t>
      </w:r>
      <w:r>
        <w:rPr>
          <w:rFonts w:hint="default" w:ascii="Times New Roman" w:hAnsi="Times New Roman" w:eastAsia="等线" w:cs="Times New Roman"/>
          <w:bCs/>
          <w:iCs/>
          <w:sz w:val="20"/>
          <w:szCs w:val="20"/>
          <w:lang w:val="en-US" w:eastAsia="zh-CN"/>
        </w:rPr>
        <w:t xml:space="preserve">FD resources are within set </w:t>
      </w:r>
      <m:oMath>
        <m:sSub>
          <m:sSubPr>
            <m:ctrlPr>
              <w:rPr>
                <w:rFonts w:hint="default" w:ascii="Cambria Math" w:hAnsi="Cambria Math" w:cs="Times New Roman"/>
                <w:i/>
                <w:sz w:val="20"/>
                <w:szCs w:val="20"/>
              </w:rPr>
            </m:ctrlPr>
          </m:sSubPr>
          <m:e>
            <m:acc>
              <m:accPr>
                <m:chr m:val="̅"/>
                <m:ctrlPr>
                  <w:rPr>
                    <w:rFonts w:hint="default" w:ascii="Cambria Math" w:hAnsi="Cambria Math" w:cs="Times New Roman"/>
                    <w:sz w:val="20"/>
                    <w:szCs w:val="20"/>
                  </w:rPr>
                </m:ctrlPr>
              </m:accPr>
              <m:e>
                <m:r>
                  <m:rPr/>
                  <w:rPr>
                    <w:rFonts w:hint="default" w:ascii="Cambria Math" w:hAnsi="Cambria Math" w:cs="Times New Roman"/>
                    <w:sz w:val="20"/>
                    <w:szCs w:val="20"/>
                  </w:rPr>
                  <m:t>q</m:t>
                </m:r>
                <m:ctrlPr>
                  <w:rPr>
                    <w:rFonts w:hint="default" w:ascii="Cambria Math" w:hAnsi="Cambria Math" w:cs="Times New Roman"/>
                    <w:i/>
                    <w:sz w:val="20"/>
                    <w:szCs w:val="20"/>
                  </w:rPr>
                </m:ctrlPr>
              </m:e>
            </m:acc>
            <m:ctrlPr>
              <w:rPr>
                <w:rFonts w:hint="default" w:ascii="Cambria Math" w:hAnsi="Cambria Math" w:cs="Times New Roman"/>
                <w:i/>
                <w:sz w:val="20"/>
                <w:szCs w:val="20"/>
              </w:rPr>
            </m:ctrlPr>
          </m:e>
          <m:sub>
            <m:r>
              <m:rPr/>
              <w:rPr>
                <w:rFonts w:hint="default" w:ascii="Cambria Math" w:hAnsi="Cambria Math" w:cs="Times New Roman"/>
                <w:sz w:val="20"/>
                <w:szCs w:val="20"/>
                <w:lang w:val="en-US" w:eastAsia="zh-CN"/>
              </w:rPr>
              <m:t>0</m:t>
            </m:r>
            <m:ctrlPr>
              <w:rPr>
                <w:rFonts w:hint="default" w:ascii="Cambria Math" w:hAnsi="Cambria Math" w:cs="Times New Roman"/>
                <w:i/>
                <w:sz w:val="20"/>
                <w:szCs w:val="20"/>
              </w:rPr>
            </m:ctrlPr>
          </m:sub>
        </m:sSub>
      </m:oMath>
      <w:r>
        <w:rPr>
          <w:rFonts w:hint="eastAsia" w:hAnsi="Cambria Math" w:cs="Times New Roman"/>
          <w:i w:val="0"/>
          <w:sz w:val="20"/>
          <w:szCs w:val="20"/>
          <w:lang w:val="en-US" w:eastAsia="zh-CN"/>
        </w:rPr>
        <w:t xml:space="preserve">. </w:t>
      </w:r>
      <w:r>
        <w:rPr>
          <w:rFonts w:hint="eastAsia" w:ascii="Times New Roman" w:hAnsi="Times New Roman" w:eastAsia="等线"/>
          <w:bCs/>
          <w:iCs/>
          <w:sz w:val="20"/>
          <w:szCs w:val="20"/>
          <w:lang w:val="en-US" w:eastAsia="zh-CN"/>
        </w:rPr>
        <w:t>On each RS resource configuration in the set , the UE shall estimate the radio link quality and compare it to the threshold Qout_LR for the purpose of accessing downlink radio link quality of the serving cell beams. The threshold Qout_LR is defined as the level at which the downlink radio level link of a given resource configuration on the set cannot be reliably received and shall correspond to the BLERout = 10% block error rate of a hypothetical PDCCH transmission. The evaluation period for BFD is based on 5 samples</w:t>
      </w:r>
      <w:r>
        <w:rPr>
          <w:rFonts w:hint="eastAsia" w:ascii="Times New Roman" w:hAnsi="Times New Roman" w:cs="Times New Roman"/>
          <w:i w:val="0"/>
          <w:sz w:val="20"/>
          <w:szCs w:val="20"/>
          <w:lang w:val="en-US" w:eastAsia="zh-CN"/>
        </w:rPr>
        <w:t xml:space="preserve"> </w:t>
      </w:r>
    </w:p>
    <w:p w14:paraId="33970843">
      <w:pPr>
        <w:spacing w:after="180" w:line="240" w:lineRule="exact"/>
        <w:rPr>
          <w:rFonts w:hint="default" w:ascii="Times New Roman" w:hAnsi="Times New Roman" w:eastAsia="等线"/>
          <w:bCs/>
          <w:iCs/>
          <w:sz w:val="20"/>
          <w:szCs w:val="20"/>
          <w:lang w:val="en-US" w:eastAsia="zh-CN"/>
        </w:rPr>
      </w:pPr>
      <w:r>
        <w:rPr>
          <w:rFonts w:hint="default" w:ascii="Times New Roman" w:hAnsi="Times New Roman" w:cs="Times New Roman"/>
          <w:sz w:val="20"/>
          <w:szCs w:val="20"/>
        </w:rPr>
        <w:t>CBD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resource </w:t>
      </w:r>
      <w:r>
        <w:rPr>
          <w:rFonts w:hint="default" w:ascii="Times New Roman" w:hAnsi="Times New Roman" w:cs="Times New Roman"/>
          <w:sz w:val="20"/>
          <w:szCs w:val="20"/>
          <w:lang w:val="en-US" w:eastAsia="zh-CN"/>
        </w:rPr>
        <w:t xml:space="preserve">are </w:t>
      </w:r>
      <w:r>
        <w:rPr>
          <w:rFonts w:hint="default" w:ascii="Times New Roman" w:hAnsi="Times New Roman" w:cs="Times New Roman"/>
          <w:sz w:val="20"/>
          <w:szCs w:val="20"/>
        </w:rPr>
        <w:t xml:space="preserve">in the set </w:t>
      </w:r>
      <m:oMath>
        <m:sSub>
          <m:sSubPr>
            <m:ctrlPr>
              <w:rPr>
                <w:rFonts w:hint="default" w:ascii="Cambria Math" w:hAnsi="Cambria Math" w:cs="Times New Roman"/>
                <w:i/>
                <w:sz w:val="20"/>
                <w:szCs w:val="20"/>
              </w:rPr>
            </m:ctrlPr>
          </m:sSubPr>
          <m:e>
            <m:acc>
              <m:accPr>
                <m:chr m:val="̅"/>
                <m:ctrlPr>
                  <w:rPr>
                    <w:rFonts w:hint="default" w:ascii="Cambria Math" w:hAnsi="Cambria Math" w:cs="Times New Roman"/>
                    <w:sz w:val="20"/>
                    <w:szCs w:val="20"/>
                  </w:rPr>
                </m:ctrlPr>
              </m:accPr>
              <m:e>
                <m:r>
                  <m:rPr/>
                  <w:rPr>
                    <w:rFonts w:hint="default" w:ascii="Cambria Math" w:hAnsi="Cambria Math" w:cs="Times New Roman"/>
                    <w:sz w:val="20"/>
                    <w:szCs w:val="20"/>
                  </w:rPr>
                  <m:t>q</m:t>
                </m:r>
                <m:ctrlPr>
                  <w:rPr>
                    <w:rFonts w:hint="default" w:ascii="Cambria Math" w:hAnsi="Cambria Math" w:cs="Times New Roman"/>
                    <w:i/>
                    <w:sz w:val="20"/>
                    <w:szCs w:val="20"/>
                  </w:rPr>
                </m:ctrlPr>
              </m:e>
            </m:acc>
            <m:ctrlPr>
              <w:rPr>
                <w:rFonts w:hint="default" w:ascii="Cambria Math" w:hAnsi="Cambria Math" w:cs="Times New Roman"/>
                <w:i/>
                <w:sz w:val="20"/>
                <w:szCs w:val="20"/>
              </w:rPr>
            </m:ctrlPr>
          </m:e>
          <m:sub>
            <m:r>
              <m:rPr/>
              <w:rPr>
                <w:rFonts w:hint="default" w:ascii="Cambria Math" w:hAnsi="Cambria Math" w:cs="Times New Roman"/>
                <w:sz w:val="20"/>
                <w:szCs w:val="20"/>
              </w:rPr>
              <m:t>1</m:t>
            </m:r>
            <m:ctrlPr>
              <w:rPr>
                <w:rFonts w:hint="default" w:ascii="Cambria Math" w:hAnsi="Cambria Math" w:cs="Times New Roman"/>
                <w:i/>
                <w:sz w:val="20"/>
                <w:szCs w:val="20"/>
              </w:rPr>
            </m:ctrlPr>
          </m:sub>
        </m:sSub>
      </m:oMath>
      <w:r>
        <w:rPr>
          <w:rFonts w:hint="default" w:ascii="Times New Roman" w:hAnsi="Times New Roman" w:cs="Times New Roman"/>
          <w:i w:val="0"/>
          <w:sz w:val="20"/>
          <w:szCs w:val="20"/>
          <w:lang w:val="en-US" w:eastAsia="zh-CN"/>
        </w:rPr>
        <w:t>.</w:t>
      </w:r>
      <w:r>
        <w:rPr>
          <w:rFonts w:hint="eastAsia" w:ascii="Times New Roman" w:hAnsi="Times New Roman" w:cs="Times New Roman"/>
          <w:i w:val="0"/>
          <w:sz w:val="20"/>
          <w:szCs w:val="20"/>
          <w:lang w:val="en-US" w:eastAsia="zh-CN"/>
        </w:rPr>
        <w:t xml:space="preserve"> Upon request the UE shall deliver configuration indexes from the set to higher layers, and the corresponding L1-RSRP measurement provided that the measured L1-RSRP is equal to or better than the threshold Qin_LR, which is indicated by higher layer parameter rsrp-ThresholdSSB. </w:t>
      </w:r>
      <w:r>
        <w:rPr>
          <w:rFonts w:hint="eastAsia" w:ascii="Times New Roman" w:hAnsi="Times New Roman" w:eastAsia="等线"/>
          <w:bCs/>
          <w:iCs/>
          <w:sz w:val="20"/>
          <w:szCs w:val="20"/>
          <w:lang w:val="en-US" w:eastAsia="zh-CN"/>
        </w:rPr>
        <w:t>The evaluation period for CBD is based on 3 samples</w:t>
      </w:r>
      <w:r>
        <w:rPr>
          <w:rFonts w:hint="eastAsia" w:ascii="Times New Roman" w:hAnsi="Times New Roman" w:cs="Times New Roman"/>
          <w:i w:val="0"/>
          <w:sz w:val="20"/>
          <w:szCs w:val="20"/>
          <w:lang w:val="en-US" w:eastAsia="zh-CN"/>
        </w:rPr>
        <w:t>.</w:t>
      </w:r>
    </w:p>
    <w:p w14:paraId="36FE407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can be seen that RLM, BFD, CBD are handled independently, even though all of them are related with radio link quality. As a result, the requirements are complex, UE behaviour is inconsistent, and introduce additional UE power consumption due to redundant measurement. To avoid these issue, it is proposed to consider unified measurement framework for RLM\BFD\CBD.</w:t>
      </w:r>
    </w:p>
    <w:p w14:paraId="222E61F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13: from the perspective of UE measurement, it is proposed to consider unified measurement framework and define unified requirements for RLM, BFD, CBD.</w:t>
      </w:r>
    </w:p>
    <w:p w14:paraId="7FA7FD39">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2.3 Mobility related RRM</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354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B5E4D7">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6: Mobility related RRM</w:t>
            </w:r>
          </w:p>
          <w:p w14:paraId="508295BF">
            <w:pPr>
              <w:rPr>
                <w:rFonts w:hint="default" w:ascii="Times New Roman" w:hAnsi="Times New Roman" w:cs="Times New Roman"/>
                <w:bCs/>
                <w:color w:val="0070C0"/>
                <w:sz w:val="20"/>
                <w:szCs w:val="20"/>
                <w:u w:val="single"/>
                <w:lang w:eastAsia="ko-KR"/>
              </w:rPr>
            </w:pPr>
            <w:r>
              <w:rPr>
                <w:rFonts w:hint="default" w:ascii="Times New Roman" w:hAnsi="Times New Roman" w:cs="Times New Roman"/>
                <w:bCs/>
                <w:color w:val="0070C0"/>
                <w:sz w:val="20"/>
                <w:szCs w:val="20"/>
                <w:u w:val="single"/>
                <w:lang w:eastAsia="ko-KR"/>
              </w:rPr>
              <w:t>Issue 6: Mobility related RRM</w:t>
            </w:r>
          </w:p>
          <w:p w14:paraId="19FE5EDF">
            <w:pPr>
              <w:pStyle w:val="16"/>
              <w:spacing w:after="120"/>
              <w:ind w:firstLine="0" w:firstLineChars="0"/>
              <w:rPr>
                <w:rFonts w:hint="default" w:ascii="Times New Roman" w:hAnsi="Times New Roman" w:cs="Times New Roman"/>
                <w:bCs/>
                <w:sz w:val="20"/>
                <w:szCs w:val="20"/>
              </w:rPr>
            </w:pPr>
            <w:r>
              <w:rPr>
                <w:rFonts w:hint="default" w:ascii="Times New Roman" w:hAnsi="Times New Roman" w:cs="Times New Roman"/>
                <w:bCs/>
                <w:sz w:val="20"/>
                <w:szCs w:val="20"/>
              </w:rPr>
              <w:t>[Way forward]</w:t>
            </w:r>
          </w:p>
          <w:p w14:paraId="31E721AD">
            <w:pPr>
              <w:pStyle w:val="16"/>
              <w:numPr>
                <w:ilvl w:val="0"/>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FFS followings in the RAN4#117 meeting (other sub-topics are not precluded):</w:t>
            </w:r>
          </w:p>
          <w:p w14:paraId="49627683">
            <w:pPr>
              <w:pStyle w:val="16"/>
              <w:numPr>
                <w:ilvl w:val="1"/>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to start from mobility related RRM solutions with less RAN1/2-dependency.</w:t>
            </w:r>
          </w:p>
          <w:p w14:paraId="616965F1">
            <w:pPr>
              <w:pStyle w:val="16"/>
              <w:numPr>
                <w:ilvl w:val="1"/>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to identify which of the following topics can be starts directly in RAN4:</w:t>
            </w:r>
          </w:p>
          <w:p w14:paraId="2378AD0A">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Latency and/or interruption reduction for mobility through RAN4-defined components (Apple, MTK(interruption only), QC, LGE, ZTE, HW, vivo, Ericsson, Nokia, CMCC, Samsung)</w:t>
            </w:r>
          </w:p>
          <w:p w14:paraId="67930DFB">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discuss RRM part reduction during mobility, e.g., L1/L3 measurement, beam sweeping and etc.</w:t>
            </w:r>
          </w:p>
          <w:p w14:paraId="0F8C3C9D">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discuss the scenarios/conditions for such reduction (known, unknown, or other status)</w:t>
            </w:r>
          </w:p>
          <w:p w14:paraId="11FE1221">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discuss </w:t>
            </w:r>
            <w:r>
              <w:rPr>
                <w:rFonts w:hint="default" w:ascii="Times New Roman" w:hAnsi="Times New Roman" w:eastAsia="宋体" w:cs="Times New Roman"/>
                <w:bCs/>
                <w:iCs/>
                <w:sz w:val="20"/>
                <w:szCs w:val="20"/>
              </w:rPr>
              <w:t>NW controlled and UE initiated L1/L3 measurement report</w:t>
            </w:r>
          </w:p>
          <w:p w14:paraId="5B0A2D37">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Solutions for longer SSB periodicity in mobility (MTK, Samsung, Ericsson)</w:t>
            </w:r>
          </w:p>
          <w:p w14:paraId="30757DC9">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Early RRC decoding, and/or, DL/UL sync, and/or, early T/F tracking for mobility (MTK, Nokia)</w:t>
            </w:r>
          </w:p>
          <w:p w14:paraId="26674397">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Virtual RRM UE group (Apple, ZTE)</w:t>
            </w:r>
          </w:p>
          <w:p w14:paraId="6298BAD7">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Unified measurement and mobility framework (QC)</w:t>
            </w:r>
          </w:p>
          <w:p w14:paraId="1844B2C8">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E.g., based on 5G LTM</w:t>
            </w:r>
          </w:p>
          <w:p w14:paraId="1E8B72FB">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End-to-end handover latency target (QC)</w:t>
            </w:r>
          </w:p>
          <w:p w14:paraId="66C6D63B">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to study the practically achievable end-to-end handover latency target, taking into account user-plane data forwarding latency, to better align handover requirements with practical effectiveness.</w:t>
            </w:r>
          </w:p>
          <w:p w14:paraId="4C57B1CB">
            <w:pPr>
              <w:pStyle w:val="16"/>
              <w:numPr>
                <w:ilvl w:val="2"/>
                <w:numId w:val="8"/>
              </w:numPr>
              <w:spacing w:after="120"/>
              <w:ind w:firstLineChars="0"/>
              <w:rPr>
                <w:rFonts w:hint="default" w:ascii="Times New Roman" w:hAnsi="Times New Roman" w:eastAsia="等线" w:cs="Times New Roman"/>
                <w:b/>
                <w:bCs w:val="0"/>
                <w:i/>
                <w:iCs w:val="0"/>
                <w:sz w:val="20"/>
                <w:szCs w:val="20"/>
                <w:vertAlign w:val="baseline"/>
                <w:lang w:val="en-US" w:eastAsia="zh-CN"/>
              </w:rPr>
            </w:pPr>
            <w:r>
              <w:rPr>
                <w:rFonts w:hint="default" w:ascii="Times New Roman" w:hAnsi="Times New Roman" w:cs="Times New Roman"/>
                <w:bCs/>
                <w:sz w:val="20"/>
                <w:szCs w:val="20"/>
              </w:rPr>
              <w:t>Unified UE measurement requirements across cell changes (Nokia)</w:t>
            </w:r>
          </w:p>
        </w:tc>
      </w:tr>
    </w:tbl>
    <w:p w14:paraId="781BA696">
      <w:pPr>
        <w:spacing w:after="180" w:line="240" w:lineRule="exact"/>
        <w:rPr>
          <w:rFonts w:hint="default" w:ascii="Times New Roman" w:hAnsi="Times New Roman" w:eastAsia="等线"/>
          <w:b/>
          <w:bCs w:val="0"/>
          <w:i/>
          <w:iCs w:val="0"/>
          <w:sz w:val="20"/>
          <w:szCs w:val="20"/>
          <w:lang w:val="en-US" w:eastAsia="zh-CN"/>
        </w:rPr>
      </w:pPr>
    </w:p>
    <w:p w14:paraId="4222846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5G, there are multiple evolution to UE mobility in different release. Rel-15 is based on the baseline handover. Conditional handover and Dual Active Protocol Stack (DAPS) are introduced in Rel-16. Inter-Cell Beam Management (ICBM) is specified in Rel-17. Requirements for L1/L2 triggered mobility (LTM) are defined in Rel-18 and the requirements for enhanced LTM are defined in Rel-19.    </w:t>
      </w:r>
    </w:p>
    <w:p w14:paraId="183CFE4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Taking HO as an example, handover delay are defined. The main component of handover delay is interruption time, during which UE cannot perform data reception and/or reception. No matter in HO, CHO, or LTM, interruption cannot be avoided. </w:t>
      </w:r>
      <w:r>
        <w:rPr>
          <w:rFonts w:hint="default" w:ascii="Times New Roman" w:hAnsi="Times New Roman" w:eastAsia="等线"/>
          <w:bCs/>
          <w:iCs/>
          <w:sz w:val="20"/>
          <w:szCs w:val="20"/>
          <w:lang w:val="en-US" w:eastAsia="zh-CN"/>
        </w:rPr>
        <w:t xml:space="preserve">For 6G, we may aim for a solution to minimize the </w:t>
      </w:r>
      <w:r>
        <w:rPr>
          <w:rFonts w:hint="eastAsia" w:ascii="Times New Roman" w:hAnsi="Times New Roman" w:eastAsia="等线"/>
          <w:bCs/>
          <w:iCs/>
          <w:sz w:val="20"/>
          <w:szCs w:val="20"/>
          <w:lang w:val="en-US" w:eastAsia="zh-CN"/>
        </w:rPr>
        <w:t xml:space="preserve">handover delay including </w:t>
      </w:r>
      <w:r>
        <w:rPr>
          <w:rFonts w:hint="default" w:ascii="Times New Roman" w:hAnsi="Times New Roman" w:eastAsia="等线"/>
          <w:bCs/>
          <w:iCs/>
          <w:sz w:val="20"/>
          <w:szCs w:val="20"/>
          <w:lang w:val="en-US" w:eastAsia="zh-CN"/>
        </w:rPr>
        <w:t xml:space="preserve">interruption time. Normally, handover interruption comprises the time required to search the target cell, time for fine time tracking, time for UE UE processing. One way to reduce interruption delay is to discuss whether the components of interruption </w:t>
      </w:r>
      <w:r>
        <w:rPr>
          <w:rFonts w:hint="eastAsia" w:ascii="Times New Roman" w:hAnsi="Times New Roman" w:eastAsia="等线"/>
          <w:bCs/>
          <w:iCs/>
          <w:sz w:val="20"/>
          <w:szCs w:val="20"/>
          <w:lang w:val="en-US" w:eastAsia="zh-CN"/>
        </w:rPr>
        <w:t xml:space="preserve">can be reduced </w:t>
      </w:r>
      <w:r>
        <w:rPr>
          <w:rFonts w:hint="default" w:ascii="Times New Roman" w:hAnsi="Times New Roman" w:eastAsia="等线"/>
          <w:bCs/>
          <w:iCs/>
          <w:sz w:val="20"/>
          <w:szCs w:val="20"/>
          <w:lang w:val="en-US" w:eastAsia="zh-CN"/>
        </w:rPr>
        <w:t xml:space="preserve">and </w:t>
      </w:r>
      <w:r>
        <w:rPr>
          <w:rFonts w:hint="eastAsia" w:ascii="Times New Roman" w:hAnsi="Times New Roman" w:eastAsia="等线"/>
          <w:bCs/>
          <w:iCs/>
          <w:sz w:val="20"/>
          <w:szCs w:val="20"/>
          <w:lang w:val="en-US" w:eastAsia="zh-CN"/>
        </w:rPr>
        <w:t xml:space="preserve">whether </w:t>
      </w:r>
      <w:r>
        <w:rPr>
          <w:rFonts w:hint="default" w:ascii="Times New Roman" w:hAnsi="Times New Roman" w:eastAsia="等线"/>
          <w:bCs/>
          <w:iCs/>
          <w:sz w:val="20"/>
          <w:szCs w:val="20"/>
          <w:lang w:val="en-US" w:eastAsia="zh-CN"/>
        </w:rPr>
        <w:t>the time for each components can be reduced.</w:t>
      </w:r>
      <w:r>
        <w:rPr>
          <w:rFonts w:hint="eastAsia" w:ascii="Times New Roman" w:hAnsi="Times New Roman" w:eastAsia="等线"/>
          <w:bCs/>
          <w:iCs/>
          <w:sz w:val="20"/>
          <w:szCs w:val="20"/>
          <w:lang w:val="en-US" w:eastAsia="zh-CN"/>
        </w:rPr>
        <w:t xml:space="preserve"> </w:t>
      </w:r>
    </w:p>
    <w:p w14:paraId="556C7E6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14: it is proposed to study how to reduce the latency and/or interruption for mobility</w:t>
      </w:r>
      <w:r>
        <w:rPr>
          <w:rFonts w:hint="default" w:ascii="Times New Roman" w:hAnsi="Times New Roman" w:eastAsia="等线"/>
          <w:b/>
          <w:bCs w:val="0"/>
          <w:i/>
          <w:iCs w:val="0"/>
          <w:sz w:val="20"/>
          <w:szCs w:val="20"/>
          <w:lang w:val="en-US" w:eastAsia="zh-CN"/>
        </w:rPr>
        <w:t>.</w:t>
      </w:r>
    </w:p>
    <w:p w14:paraId="4C3CBCC8">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2.4 RRM related energy efficiency</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3A6C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D8F76EC">
            <w:pPr>
              <w:rPr>
                <w:rFonts w:hint="default" w:ascii="Times New Roman" w:hAnsi="Times New Roman" w:cs="Times New Roman"/>
                <w:bCs/>
                <w:color w:val="0070C0"/>
                <w:sz w:val="20"/>
                <w:szCs w:val="20"/>
                <w:u w:val="single"/>
                <w:lang w:eastAsia="ko-KR"/>
              </w:rPr>
            </w:pPr>
            <w:r>
              <w:rPr>
                <w:rFonts w:hint="default" w:ascii="Times New Roman" w:hAnsi="Times New Roman" w:cs="Times New Roman"/>
                <w:bCs/>
                <w:color w:val="0070C0"/>
                <w:sz w:val="20"/>
                <w:szCs w:val="20"/>
                <w:u w:val="single"/>
                <w:lang w:eastAsia="ko-KR"/>
              </w:rPr>
              <w:t>Issue 7: RRM related energy efficiency</w:t>
            </w:r>
          </w:p>
          <w:p w14:paraId="0B98957A">
            <w:pPr>
              <w:pStyle w:val="16"/>
              <w:spacing w:after="120"/>
              <w:ind w:firstLine="0" w:firstLineChars="0"/>
              <w:rPr>
                <w:rFonts w:hint="default" w:ascii="Times New Roman" w:hAnsi="Times New Roman" w:cs="Times New Roman"/>
                <w:bCs/>
                <w:sz w:val="20"/>
                <w:szCs w:val="20"/>
              </w:rPr>
            </w:pPr>
            <w:r>
              <w:rPr>
                <w:rFonts w:hint="default" w:ascii="Times New Roman" w:hAnsi="Times New Roman" w:cs="Times New Roman"/>
                <w:bCs/>
                <w:sz w:val="20"/>
                <w:szCs w:val="20"/>
              </w:rPr>
              <w:t>[Way forward]</w:t>
            </w:r>
          </w:p>
          <w:p w14:paraId="2F1B4B96">
            <w:pPr>
              <w:pStyle w:val="16"/>
              <w:numPr>
                <w:ilvl w:val="0"/>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FFS followings in the RAN4#117 meeting (other sub-topics are not precluded):</w:t>
            </w:r>
          </w:p>
          <w:p w14:paraId="799CA904">
            <w:pPr>
              <w:pStyle w:val="16"/>
              <w:numPr>
                <w:ilvl w:val="1"/>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to identify candidate topics can be studied in RAN4 directly:</w:t>
            </w:r>
          </w:p>
          <w:p w14:paraId="0A0CF37F">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Network energy saving:</w:t>
            </w:r>
          </w:p>
          <w:p w14:paraId="2DE5F7F9">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RRM for new SSB design(e.g., SSB periodicity extension, OD-SSB/OD-SIB1) (vivo, Ericsson, Nokia, ZTE)</w:t>
            </w:r>
          </w:p>
          <w:p w14:paraId="6A66E512">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SSB-less based RRM (Ericsson, Nokia, ZTE)</w:t>
            </w:r>
          </w:p>
          <w:p w14:paraId="086EC6AC">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UE power saving:</w:t>
            </w:r>
          </w:p>
          <w:p w14:paraId="1CC873E0">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UE type/state based RRM relaxation (Apple, CMCC, Ericsson(scalable set of measurement requirement), Nokia)</w:t>
            </w:r>
          </w:p>
          <w:p w14:paraId="5112257A">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LR based solutions for UE power saving (Sony, vivo, Ericsson)</w:t>
            </w:r>
          </w:p>
          <w:p w14:paraId="40348FA3">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DRX/eDRX based measurement (Ericsson)</w:t>
            </w:r>
          </w:p>
          <w:p w14:paraId="3B7743A5">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Energy sensing based RRM strategy (CATT)</w:t>
            </w:r>
          </w:p>
          <w:p w14:paraId="42FA6C4D">
            <w:pPr>
              <w:pStyle w:val="16"/>
              <w:numPr>
                <w:ilvl w:val="1"/>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To be discussed: </w:t>
            </w:r>
          </w:p>
          <w:p w14:paraId="1C19A057">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Option 1: RAN4 to set check points to check whether or not starting discussion on other </w:t>
            </w:r>
            <w:r>
              <w:rPr>
                <w:rFonts w:hint="default" w:ascii="Times New Roman" w:hAnsi="Times New Roman" w:cs="Times New Roman"/>
                <w:bCs/>
                <w:sz w:val="20"/>
                <w:szCs w:val="20"/>
              </w:rPr>
              <w:t>energy efficiency</w:t>
            </w:r>
            <w:r>
              <w:rPr>
                <w:rFonts w:hint="default" w:ascii="Times New Roman" w:hAnsi="Times New Roman" w:eastAsia="宋体" w:cs="Times New Roman"/>
                <w:bCs/>
                <w:sz w:val="20"/>
                <w:szCs w:val="20"/>
              </w:rPr>
              <w:t xml:space="preserve"> related RRM topics if there are sufficient conclusions from other WGs</w:t>
            </w:r>
          </w:p>
          <w:p w14:paraId="39D3890D">
            <w:pPr>
              <w:pStyle w:val="16"/>
              <w:numPr>
                <w:ilvl w:val="3"/>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FFS: Check point timeline </w:t>
            </w:r>
          </w:p>
          <w:p w14:paraId="0C5F946E">
            <w:pPr>
              <w:pStyle w:val="16"/>
              <w:numPr>
                <w:ilvl w:val="2"/>
                <w:numId w:val="8"/>
              </w:numPr>
              <w:spacing w:after="120"/>
              <w:ind w:firstLineChars="0"/>
              <w:rPr>
                <w:rFonts w:hint="eastAsia" w:ascii="Times New Roman" w:hAnsi="Times New Roman" w:eastAsia="等线"/>
                <w:bCs/>
                <w:iCs/>
                <w:sz w:val="20"/>
                <w:szCs w:val="20"/>
                <w:vertAlign w:val="baseline"/>
                <w:lang w:val="en-US" w:eastAsia="zh-CN"/>
              </w:rPr>
            </w:pPr>
            <w:r>
              <w:rPr>
                <w:rFonts w:hint="default" w:ascii="Times New Roman" w:hAnsi="Times New Roman" w:eastAsia="宋体" w:cs="Times New Roman"/>
                <w:bCs/>
                <w:sz w:val="20"/>
                <w:szCs w:val="20"/>
              </w:rPr>
              <w:t xml:space="preserve">Option 2: RAN4 to check whether or not starting discussion on other </w:t>
            </w:r>
            <w:r>
              <w:rPr>
                <w:rFonts w:hint="default" w:ascii="Times New Roman" w:hAnsi="Times New Roman" w:cs="Times New Roman"/>
                <w:bCs/>
                <w:sz w:val="20"/>
                <w:szCs w:val="20"/>
              </w:rPr>
              <w:t>energy efficiency</w:t>
            </w:r>
            <w:r>
              <w:rPr>
                <w:rFonts w:hint="default" w:ascii="Times New Roman" w:hAnsi="Times New Roman" w:eastAsia="宋体" w:cs="Times New Roman"/>
                <w:bCs/>
                <w:sz w:val="20"/>
                <w:szCs w:val="20"/>
              </w:rPr>
              <w:t xml:space="preserve"> related RRM topics once there are sufficient conclusions from other WGs.</w:t>
            </w:r>
          </w:p>
        </w:tc>
      </w:tr>
    </w:tbl>
    <w:p w14:paraId="49AF0E6E">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9"/>
        <w:rPr>
          <w:rFonts w:hint="eastAsia" w:ascii="Times New Roman" w:hAnsi="Times New Roman" w:eastAsia="等线"/>
          <w:b/>
          <w:bCs w:val="0"/>
          <w:iCs/>
          <w:sz w:val="20"/>
          <w:szCs w:val="20"/>
          <w:lang w:val="en-US" w:eastAsia="zh-CN"/>
        </w:rPr>
      </w:pPr>
    </w:p>
    <w:p w14:paraId="1DDF19E4">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achieved some agreements for energy efficiency topic, some of them which have impact on RAN4 RRM are identified, we copy them below for information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15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72C3E02">
            <w:pPr>
              <w:overflowPunct/>
              <w:autoSpaceDE/>
              <w:autoSpaceDN/>
              <w:adjustRightInd/>
              <w:spacing w:after="0"/>
              <w:textAlignment w:val="auto"/>
              <w:rPr>
                <w:rFonts w:eastAsia="等线"/>
                <w:sz w:val="20"/>
                <w:szCs w:val="20"/>
                <w:highlight w:val="green"/>
                <w:lang w:eastAsia="zh-CN"/>
              </w:rPr>
            </w:pPr>
            <w:r>
              <w:rPr>
                <w:rFonts w:hint="eastAsia" w:eastAsia="等线"/>
                <w:sz w:val="20"/>
                <w:szCs w:val="20"/>
                <w:highlight w:val="green"/>
                <w:lang w:eastAsia="zh-CN"/>
              </w:rPr>
              <w:t>Agreement</w:t>
            </w:r>
          </w:p>
          <w:p w14:paraId="5753C5E4">
            <w:pPr>
              <w:overflowPunct/>
              <w:autoSpaceDE/>
              <w:autoSpaceDN/>
              <w:adjustRightInd/>
              <w:spacing w:after="0" w:line="256" w:lineRule="auto"/>
              <w:textAlignment w:val="auto"/>
              <w:rPr>
                <w:rFonts w:ascii="Times" w:hAnsi="Times" w:eastAsia="Calibri" w:cs="Arial"/>
                <w:sz w:val="20"/>
                <w:szCs w:val="20"/>
                <w:lang w:val="en-US" w:eastAsia="en-US"/>
              </w:rPr>
            </w:pPr>
            <w:r>
              <w:rPr>
                <w:rFonts w:ascii="Times" w:hAnsi="Times" w:eastAsia="Calibri" w:cs="Arial"/>
                <w:sz w:val="20"/>
                <w:szCs w:val="20"/>
                <w:lang w:eastAsia="en-US"/>
              </w:rPr>
              <w:t>Study and evaluate</w:t>
            </w:r>
            <w:r>
              <w:rPr>
                <w:rFonts w:ascii="Times" w:hAnsi="Times" w:eastAsia="Calibri" w:cs="Arial"/>
                <w:color w:val="FF0000"/>
                <w:sz w:val="20"/>
                <w:szCs w:val="20"/>
                <w:lang w:eastAsia="en-US"/>
              </w:rPr>
              <w:t xml:space="preserve"> </w:t>
            </w:r>
            <w:r>
              <w:rPr>
                <w:rFonts w:ascii="Times" w:hAnsi="Times" w:eastAsia="Calibri" w:cs="Arial"/>
                <w:sz w:val="20"/>
                <w:szCs w:val="20"/>
                <w:lang w:eastAsia="en-US"/>
              </w:rPr>
              <w:t xml:space="preserve">NW energy savings </w:t>
            </w:r>
            <w:r>
              <w:rPr>
                <w:rFonts w:hint="eastAsia" w:ascii="Times" w:hAnsi="Times" w:eastAsia="等线" w:cs="Arial"/>
                <w:sz w:val="20"/>
                <w:szCs w:val="20"/>
                <w:lang w:eastAsia="zh-CN"/>
              </w:rPr>
              <w:t xml:space="preserve">and the impact on </w:t>
            </w:r>
            <w:r>
              <w:rPr>
                <w:rFonts w:ascii="Times" w:hAnsi="Times" w:eastAsia="Calibri" w:cs="Arial"/>
                <w:sz w:val="20"/>
                <w:szCs w:val="20"/>
                <w:lang w:eastAsia="en-US"/>
              </w:rPr>
              <w:t xml:space="preserve">UE performance and user experience </w:t>
            </w:r>
            <w:r>
              <w:rPr>
                <w:rFonts w:hint="eastAsia" w:ascii="Times" w:hAnsi="Times" w:eastAsia="等线" w:cs="Arial"/>
                <w:sz w:val="20"/>
                <w:szCs w:val="20"/>
                <w:lang w:eastAsia="zh-CN"/>
              </w:rPr>
              <w:t>with</w:t>
            </w:r>
            <w:r>
              <w:rPr>
                <w:rFonts w:ascii="Times" w:hAnsi="Times" w:eastAsia="Calibri" w:cs="Arial"/>
                <w:sz w:val="20"/>
                <w:szCs w:val="20"/>
                <w:lang w:eastAsia="en-US"/>
              </w:rPr>
              <w:t xml:space="preserve"> </w:t>
            </w:r>
            <w:r>
              <w:rPr>
                <w:rFonts w:hint="eastAsia" w:ascii="Times" w:hAnsi="Times" w:eastAsia="等线" w:cs="Arial"/>
                <w:sz w:val="20"/>
                <w:szCs w:val="20"/>
                <w:lang w:eastAsia="zh-CN"/>
              </w:rPr>
              <w:t>respect to</w:t>
            </w:r>
            <w:r>
              <w:rPr>
                <w:rFonts w:ascii="Times" w:hAnsi="Times" w:eastAsia="Calibri" w:cs="Arial"/>
                <w:sz w:val="20"/>
                <w:szCs w:val="20"/>
                <w:lang w:eastAsia="en-US"/>
              </w:rPr>
              <w:t xml:space="preserve"> </w:t>
            </w:r>
            <w:r>
              <w:rPr>
                <w:rFonts w:hint="eastAsia" w:ascii="Times" w:hAnsi="Times" w:eastAsia="等线" w:cs="Arial"/>
                <w:sz w:val="20"/>
                <w:szCs w:val="20"/>
                <w:lang w:eastAsia="zh-CN"/>
              </w:rPr>
              <w:t xml:space="preserve">20ms and longer </w:t>
            </w:r>
            <w:r>
              <w:rPr>
                <w:rFonts w:ascii="Times" w:hAnsi="Times" w:eastAsia="Calibri" w:cs="Arial"/>
                <w:sz w:val="20"/>
                <w:szCs w:val="20"/>
                <w:lang w:eastAsia="en-US"/>
              </w:rPr>
              <w:t>periodicit</w:t>
            </w:r>
            <w:r>
              <w:rPr>
                <w:rFonts w:hint="eastAsia" w:ascii="Times" w:hAnsi="Times" w:eastAsia="等线" w:cs="Arial"/>
                <w:sz w:val="20"/>
                <w:szCs w:val="20"/>
                <w:lang w:eastAsia="zh-CN"/>
              </w:rPr>
              <w:t>ies</w:t>
            </w:r>
            <w:r>
              <w:rPr>
                <w:rFonts w:ascii="Times" w:hAnsi="Times" w:eastAsia="Calibri" w:cs="Arial"/>
                <w:sz w:val="20"/>
                <w:szCs w:val="20"/>
                <w:lang w:eastAsia="en-US"/>
              </w:rPr>
              <w:t xml:space="preserve"> of sync signal(s)</w:t>
            </w:r>
            <w:r>
              <w:rPr>
                <w:rFonts w:hint="eastAsia" w:ascii="Times" w:hAnsi="Times" w:eastAsia="等线" w:cs="Arial"/>
                <w:sz w:val="20"/>
                <w:szCs w:val="20"/>
                <w:lang w:eastAsia="zh-CN"/>
              </w:rPr>
              <w:t xml:space="preserve"> at least</w:t>
            </w:r>
            <w:r>
              <w:rPr>
                <w:rFonts w:ascii="Times" w:hAnsi="Times" w:eastAsia="Calibri" w:cs="Arial"/>
                <w:sz w:val="20"/>
                <w:szCs w:val="20"/>
                <w:lang w:eastAsia="en-US"/>
              </w:rPr>
              <w:t xml:space="preserve"> for initial access</w:t>
            </w:r>
            <w:r>
              <w:rPr>
                <w:rFonts w:hint="eastAsia" w:ascii="Times" w:hAnsi="Times" w:eastAsia="等线" w:cs="Arial"/>
                <w:sz w:val="20"/>
                <w:szCs w:val="20"/>
                <w:lang w:eastAsia="zh-CN"/>
              </w:rPr>
              <w:t xml:space="preserve"> with the following consideration, but not limited to</w:t>
            </w:r>
            <w:r>
              <w:rPr>
                <w:rFonts w:ascii="Times" w:hAnsi="Times" w:eastAsia="Calibri" w:cs="Arial"/>
                <w:sz w:val="20"/>
                <w:szCs w:val="20"/>
                <w:lang w:val="en-US" w:eastAsia="en-US"/>
              </w:rPr>
              <w:t>:</w:t>
            </w:r>
          </w:p>
          <w:p w14:paraId="43DB9CA3">
            <w:pPr>
              <w:tabs>
                <w:tab w:val="left" w:pos="0"/>
              </w:tabs>
              <w:overflowPunct/>
              <w:autoSpaceDE/>
              <w:autoSpaceDN/>
              <w:adjustRightInd/>
              <w:spacing w:after="0" w:line="256" w:lineRule="auto"/>
              <w:textAlignment w:val="auto"/>
              <w:rPr>
                <w:rFonts w:ascii="Times" w:hAnsi="Times" w:eastAsia="Calibri" w:cs="Arial"/>
                <w:sz w:val="20"/>
                <w:szCs w:val="20"/>
                <w:lang w:val="en-US" w:eastAsia="zh-CN"/>
              </w:rPr>
            </w:pPr>
            <w:r>
              <w:rPr>
                <w:rFonts w:ascii="Times" w:hAnsi="Times" w:eastAsia="Calibri" w:cs="Arial"/>
                <w:sz w:val="20"/>
                <w:szCs w:val="20"/>
                <w:lang w:val="en-US" w:eastAsia="zh-CN"/>
              </w:rPr>
              <w:t>BS assumptions:</w:t>
            </w:r>
          </w:p>
          <w:p w14:paraId="5B14E6C4">
            <w:pPr>
              <w:numPr>
                <w:ilvl w:val="0"/>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Cell-common signaling (e.g., sync signal(s),</w:t>
            </w:r>
            <w:r>
              <w:rPr>
                <w:rFonts w:hint="eastAsia" w:ascii="Times" w:hAnsi="Times" w:eastAsia="等线" w:cs="Arial"/>
                <w:sz w:val="20"/>
                <w:szCs w:val="20"/>
                <w:lang w:val="en-US" w:eastAsia="zh-CN"/>
              </w:rPr>
              <w:t xml:space="preserve"> broadcast PDCCH,</w:t>
            </w:r>
            <w:r>
              <w:rPr>
                <w:rFonts w:ascii="Times" w:hAnsi="Times" w:eastAsia="Calibri" w:cs="Arial"/>
                <w:sz w:val="20"/>
                <w:szCs w:val="20"/>
                <w:lang w:val="en-US" w:eastAsia="zh-CN"/>
              </w:rPr>
              <w:t xml:space="preserve"> SIB-1, SIB, paging, PRACH), e.g.,</w:t>
            </w:r>
          </w:p>
          <w:p w14:paraId="4BE5C6F8">
            <w:pPr>
              <w:numPr>
                <w:ilvl w:val="1"/>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Clustered provisioning of different cell-common signaling,</w:t>
            </w:r>
          </w:p>
          <w:p w14:paraId="490EE2CC">
            <w:pPr>
              <w:numPr>
                <w:ilvl w:val="1"/>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On-demand provisioning of different cell-common signaling,</w:t>
            </w:r>
          </w:p>
          <w:p w14:paraId="5B1F899E">
            <w:pPr>
              <w:numPr>
                <w:ilvl w:val="0"/>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UE-specific signaling (for low, light, medium loads), e.g.,</w:t>
            </w:r>
          </w:p>
          <w:p w14:paraId="63EF669C">
            <w:pPr>
              <w:numPr>
                <w:ilvl w:val="1"/>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Clustered provisioning with cell-common signaling,</w:t>
            </w:r>
          </w:p>
          <w:p w14:paraId="7240644E">
            <w:pPr>
              <w:numPr>
                <w:ilvl w:val="1"/>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Unclustered provisioning with cell-common signaling,</w:t>
            </w:r>
          </w:p>
          <w:p w14:paraId="2B550B49">
            <w:pPr>
              <w:tabs>
                <w:tab w:val="left" w:pos="0"/>
              </w:tabs>
              <w:overflowPunct/>
              <w:autoSpaceDE/>
              <w:autoSpaceDN/>
              <w:adjustRightInd/>
              <w:spacing w:after="0" w:line="256" w:lineRule="auto"/>
              <w:textAlignment w:val="auto"/>
              <w:rPr>
                <w:rFonts w:ascii="Times" w:hAnsi="Times" w:eastAsia="Calibri" w:cs="Arial"/>
                <w:sz w:val="20"/>
                <w:szCs w:val="20"/>
                <w:lang w:val="en-US" w:eastAsia="zh-CN"/>
              </w:rPr>
            </w:pPr>
            <w:r>
              <w:rPr>
                <w:rFonts w:ascii="Times" w:hAnsi="Times" w:eastAsia="Calibri" w:cs="Arial"/>
                <w:sz w:val="20"/>
                <w:szCs w:val="20"/>
                <w:lang w:val="en-US" w:eastAsia="zh-CN"/>
              </w:rPr>
              <w:t>UE impact:</w:t>
            </w:r>
          </w:p>
          <w:p w14:paraId="789EA83D">
            <w:pPr>
              <w:numPr>
                <w:ilvl w:val="0"/>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 xml:space="preserve">Cell search complexity and latency, </w:t>
            </w:r>
            <w:r>
              <w:rPr>
                <w:rFonts w:hint="eastAsia" w:ascii="Times" w:hAnsi="Times" w:eastAsia="等线" w:cs="Arial"/>
                <w:sz w:val="20"/>
                <w:szCs w:val="20"/>
                <w:lang w:val="en-US" w:eastAsia="zh-CN"/>
              </w:rPr>
              <w:t>including frequency search latency,</w:t>
            </w:r>
          </w:p>
          <w:p w14:paraId="79A91941">
            <w:pPr>
              <w:numPr>
                <w:ilvl w:val="0"/>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UE</w:t>
            </w:r>
            <w:r>
              <w:rPr>
                <w:rFonts w:hint="eastAsia" w:ascii="Times" w:hAnsi="Times" w:eastAsia="等线" w:cs="Arial"/>
                <w:sz w:val="20"/>
                <w:szCs w:val="20"/>
                <w:lang w:val="en-US" w:eastAsia="zh-CN"/>
              </w:rPr>
              <w:t xml:space="preserve"> </w:t>
            </w:r>
            <w:r>
              <w:rPr>
                <w:rFonts w:ascii="Times" w:hAnsi="Times" w:eastAsia="Calibri" w:cs="Arial"/>
                <w:sz w:val="20"/>
                <w:szCs w:val="20"/>
                <w:lang w:val="en-US" w:eastAsia="zh-CN"/>
              </w:rPr>
              <w:t>P</w:t>
            </w:r>
            <w:r>
              <w:rPr>
                <w:rFonts w:hint="eastAsia" w:ascii="Times" w:hAnsi="Times" w:eastAsia="等线" w:cs="Arial"/>
                <w:sz w:val="20"/>
                <w:szCs w:val="20"/>
                <w:lang w:val="en-US" w:eastAsia="zh-CN"/>
              </w:rPr>
              <w:t>ower consumption</w:t>
            </w:r>
            <w:r>
              <w:rPr>
                <w:rFonts w:ascii="Times" w:hAnsi="Times" w:eastAsia="Calibri" w:cs="Arial"/>
                <w:sz w:val="20"/>
                <w:szCs w:val="20"/>
                <w:lang w:val="en-US" w:eastAsia="zh-CN"/>
              </w:rPr>
              <w:t>,</w:t>
            </w:r>
          </w:p>
          <w:p w14:paraId="673ABE6F">
            <w:pPr>
              <w:numPr>
                <w:ilvl w:val="0"/>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Sync signal detection</w:t>
            </w:r>
            <w:r>
              <w:rPr>
                <w:rFonts w:hint="eastAsia" w:ascii="Times" w:hAnsi="Times" w:eastAsia="等线" w:cs="Arial"/>
                <w:sz w:val="20"/>
                <w:szCs w:val="20"/>
                <w:lang w:val="en-US" w:eastAsia="zh-CN"/>
              </w:rPr>
              <w:t>, coverage</w:t>
            </w:r>
            <w:r>
              <w:rPr>
                <w:rFonts w:ascii="Times" w:hAnsi="Times" w:eastAsia="Calibri" w:cs="Arial"/>
                <w:sz w:val="20"/>
                <w:szCs w:val="20"/>
                <w:lang w:val="en-US" w:eastAsia="zh-CN"/>
              </w:rPr>
              <w:t xml:space="preserve"> and tracking performance,</w:t>
            </w:r>
            <w:r>
              <w:rPr>
                <w:rFonts w:hint="eastAsia" w:ascii="Times" w:hAnsi="Times" w:eastAsia="等线" w:cs="Arial"/>
                <w:sz w:val="20"/>
                <w:szCs w:val="20"/>
                <w:lang w:val="en-US" w:eastAsia="zh-CN"/>
              </w:rPr>
              <w:t xml:space="preserve"> </w:t>
            </w:r>
          </w:p>
          <w:p w14:paraId="53A890D9">
            <w:pPr>
              <w:numPr>
                <w:ilvl w:val="0"/>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eastAsia="zh-CN"/>
              </w:rPr>
              <w:t>RRM, mobility</w:t>
            </w:r>
            <w:r>
              <w:rPr>
                <w:rFonts w:ascii="Times" w:hAnsi="Times" w:eastAsia="Calibri" w:cs="Arial"/>
                <w:sz w:val="20"/>
                <w:szCs w:val="20"/>
                <w:lang w:val="en-US" w:eastAsia="zh-CN"/>
              </w:rPr>
              <w:t>,</w:t>
            </w:r>
          </w:p>
          <w:p w14:paraId="04C9BD96">
            <w:pPr>
              <w:numPr>
                <w:ilvl w:val="0"/>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 xml:space="preserve">Beam </w:t>
            </w:r>
            <w:r>
              <w:rPr>
                <w:rFonts w:hint="eastAsia" w:ascii="Times" w:hAnsi="Times" w:eastAsia="等线" w:cs="Arial"/>
                <w:sz w:val="20"/>
                <w:szCs w:val="20"/>
                <w:lang w:val="en-US" w:eastAsia="zh-CN"/>
              </w:rPr>
              <w:t>management</w:t>
            </w:r>
            <w:r>
              <w:rPr>
                <w:rFonts w:ascii="Times" w:hAnsi="Times" w:eastAsia="Calibri" w:cs="Arial"/>
                <w:sz w:val="20"/>
                <w:szCs w:val="20"/>
                <w:lang w:val="en-US" w:eastAsia="zh-CN"/>
              </w:rPr>
              <w:t>,</w:t>
            </w:r>
          </w:p>
          <w:p w14:paraId="4A7AD46C">
            <w:pPr>
              <w:numPr>
                <w:ilvl w:val="0"/>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Other properties are not precluded,</w:t>
            </w:r>
          </w:p>
          <w:p w14:paraId="6533FE29">
            <w:pPr>
              <w:numPr>
                <w:ilvl w:val="0"/>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Improvements to address identified impact, e.g.,</w:t>
            </w:r>
          </w:p>
          <w:p w14:paraId="16AA5D50">
            <w:pPr>
              <w:numPr>
                <w:ilvl w:val="1"/>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Additional sync signal needs,</w:t>
            </w:r>
          </w:p>
          <w:p w14:paraId="20CA878D">
            <w:pPr>
              <w:numPr>
                <w:ilvl w:val="1"/>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Adaptation of sync signal transmission periodicity,</w:t>
            </w:r>
          </w:p>
          <w:p w14:paraId="14BEFCA0">
            <w:pPr>
              <w:numPr>
                <w:ilvl w:val="1"/>
                <w:numId w:val="10"/>
              </w:numPr>
              <w:suppressAutoHyphens/>
              <w:overflowPunct/>
              <w:autoSpaceDE/>
              <w:autoSpaceDN/>
              <w:adjustRightInd/>
              <w:spacing w:after="0" w:line="256"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Sparser synch raster.</w:t>
            </w:r>
          </w:p>
          <w:p w14:paraId="36920137">
            <w:pPr>
              <w:tabs>
                <w:tab w:val="left" w:pos="0"/>
              </w:tabs>
              <w:overflowPunct/>
              <w:autoSpaceDE/>
              <w:autoSpaceDN/>
              <w:adjustRightInd/>
              <w:spacing w:after="0" w:line="256" w:lineRule="auto"/>
              <w:textAlignment w:val="auto"/>
              <w:rPr>
                <w:rFonts w:ascii="Times" w:hAnsi="Times" w:eastAsia="等线" w:cs="Arial"/>
                <w:sz w:val="20"/>
                <w:szCs w:val="20"/>
                <w:highlight w:val="green"/>
                <w:lang w:eastAsia="zh-CN"/>
              </w:rPr>
            </w:pPr>
            <w:r>
              <w:rPr>
                <w:rFonts w:hint="eastAsia" w:ascii="Times" w:hAnsi="Times" w:eastAsia="等线" w:cs="Arial"/>
                <w:sz w:val="20"/>
                <w:szCs w:val="20"/>
                <w:highlight w:val="green"/>
                <w:lang w:eastAsia="zh-CN"/>
              </w:rPr>
              <w:t>Agreement</w:t>
            </w:r>
          </w:p>
          <w:p w14:paraId="1A456071">
            <w:pPr>
              <w:tabs>
                <w:tab w:val="left" w:pos="1701"/>
              </w:tabs>
              <w:spacing w:after="0"/>
              <w:jc w:val="both"/>
              <w:rPr>
                <w:sz w:val="20"/>
                <w:szCs w:val="20"/>
                <w:lang w:val="en-US" w:eastAsia="zh-CN"/>
              </w:rPr>
            </w:pPr>
            <w:r>
              <w:rPr>
                <w:sz w:val="20"/>
                <w:szCs w:val="20"/>
                <w:lang w:val="en-US" w:eastAsia="zh-CN"/>
              </w:rPr>
              <w:t xml:space="preserve">Study and evaluate on-demand and/or periodic SIB-1 </w:t>
            </w:r>
            <w:r>
              <w:rPr>
                <w:rFonts w:hint="eastAsia" w:eastAsia="等线"/>
                <w:sz w:val="20"/>
                <w:szCs w:val="20"/>
                <w:lang w:val="en-US" w:eastAsia="zh-CN"/>
              </w:rPr>
              <w:t>transmission</w:t>
            </w:r>
            <w:r>
              <w:rPr>
                <w:sz w:val="20"/>
                <w:szCs w:val="20"/>
                <w:lang w:val="en-US" w:eastAsia="zh-CN"/>
              </w:rPr>
              <w:t xml:space="preserve"> with respect to</w:t>
            </w:r>
          </w:p>
          <w:p w14:paraId="72919123">
            <w:pPr>
              <w:numPr>
                <w:ilvl w:val="0"/>
                <w:numId w:val="11"/>
              </w:numPr>
              <w:suppressAutoHyphens/>
              <w:overflowPunct/>
              <w:autoSpaceDE/>
              <w:autoSpaceDN/>
              <w:adjustRightInd/>
              <w:spacing w:after="0" w:line="259" w:lineRule="auto"/>
              <w:jc w:val="both"/>
              <w:textAlignment w:val="auto"/>
              <w:rPr>
                <w:rFonts w:ascii="Times" w:hAnsi="Times" w:eastAsia="Batang"/>
                <w:sz w:val="20"/>
                <w:szCs w:val="20"/>
                <w:lang w:val="en-US" w:eastAsia="en-US"/>
              </w:rPr>
            </w:pPr>
            <w:r>
              <w:rPr>
                <w:rFonts w:ascii="Times" w:hAnsi="Times" w:eastAsia="Batang"/>
                <w:sz w:val="20"/>
                <w:szCs w:val="20"/>
                <w:lang w:val="en-US" w:eastAsia="en-US"/>
              </w:rPr>
              <w:t xml:space="preserve">NW energy savings potential and UE </w:t>
            </w:r>
            <w:r>
              <w:rPr>
                <w:rFonts w:hint="eastAsia" w:ascii="Times" w:hAnsi="Times" w:eastAsia="等线"/>
                <w:sz w:val="20"/>
                <w:szCs w:val="20"/>
                <w:lang w:val="en-US" w:eastAsia="zh-CN"/>
              </w:rPr>
              <w:t>power consumption</w:t>
            </w:r>
            <w:r>
              <w:rPr>
                <w:rFonts w:ascii="Times" w:hAnsi="Times" w:eastAsia="Batang"/>
                <w:sz w:val="20"/>
                <w:szCs w:val="20"/>
                <w:lang w:val="en-US" w:eastAsia="en-US"/>
              </w:rPr>
              <w:t xml:space="preserve"> impact,</w:t>
            </w:r>
          </w:p>
          <w:p w14:paraId="5579CD7F">
            <w:pPr>
              <w:numPr>
                <w:ilvl w:val="0"/>
                <w:numId w:val="11"/>
              </w:numPr>
              <w:suppressAutoHyphens/>
              <w:overflowPunct/>
              <w:autoSpaceDE/>
              <w:autoSpaceDN/>
              <w:adjustRightInd/>
              <w:spacing w:after="0" w:line="259" w:lineRule="auto"/>
              <w:jc w:val="both"/>
              <w:textAlignment w:val="auto"/>
              <w:rPr>
                <w:rFonts w:ascii="Times" w:hAnsi="Times" w:eastAsia="Batang"/>
                <w:sz w:val="20"/>
                <w:szCs w:val="20"/>
                <w:lang w:val="en-US" w:eastAsia="en-US"/>
              </w:rPr>
            </w:pPr>
            <w:r>
              <w:rPr>
                <w:rFonts w:ascii="Times" w:hAnsi="Times" w:eastAsia="Batang"/>
                <w:sz w:val="20"/>
                <w:szCs w:val="20"/>
                <w:lang w:val="en-US" w:eastAsia="en-US"/>
              </w:rPr>
              <w:t>SIB-1 acquisition delay,</w:t>
            </w:r>
          </w:p>
          <w:p w14:paraId="3CCD5CA0">
            <w:pPr>
              <w:numPr>
                <w:ilvl w:val="0"/>
                <w:numId w:val="11"/>
              </w:numPr>
              <w:suppressAutoHyphens/>
              <w:overflowPunct/>
              <w:autoSpaceDE/>
              <w:autoSpaceDN/>
              <w:adjustRightInd/>
              <w:spacing w:after="0" w:line="259" w:lineRule="auto"/>
              <w:jc w:val="both"/>
              <w:textAlignment w:val="auto"/>
              <w:rPr>
                <w:rFonts w:ascii="Times" w:hAnsi="Times" w:eastAsia="Batang"/>
                <w:sz w:val="20"/>
                <w:szCs w:val="20"/>
                <w:lang w:val="en-US" w:eastAsia="en-US"/>
              </w:rPr>
            </w:pPr>
            <w:r>
              <w:rPr>
                <w:rFonts w:ascii="Times" w:hAnsi="Times" w:eastAsia="Batang"/>
                <w:sz w:val="20"/>
                <w:szCs w:val="20"/>
                <w:lang w:val="en-US" w:eastAsia="en-US"/>
              </w:rPr>
              <w:t xml:space="preserve">NW and UE </w:t>
            </w:r>
            <w:r>
              <w:rPr>
                <w:rFonts w:hint="eastAsia" w:ascii="Times" w:hAnsi="Times" w:eastAsia="等线"/>
                <w:sz w:val="20"/>
                <w:szCs w:val="20"/>
                <w:lang w:val="en-US" w:eastAsia="zh-CN"/>
              </w:rPr>
              <w:t>complexity</w:t>
            </w:r>
            <w:r>
              <w:rPr>
                <w:rFonts w:ascii="Times" w:hAnsi="Times" w:eastAsia="Batang"/>
                <w:sz w:val="20"/>
                <w:szCs w:val="20"/>
                <w:lang w:val="en-US" w:eastAsia="en-US"/>
              </w:rPr>
              <w:t>,</w:t>
            </w:r>
          </w:p>
          <w:p w14:paraId="2D6737A6">
            <w:pPr>
              <w:numPr>
                <w:ilvl w:val="0"/>
                <w:numId w:val="11"/>
              </w:numPr>
              <w:suppressAutoHyphens/>
              <w:overflowPunct/>
              <w:autoSpaceDE/>
              <w:autoSpaceDN/>
              <w:adjustRightInd/>
              <w:spacing w:after="0" w:line="259" w:lineRule="auto"/>
              <w:jc w:val="both"/>
              <w:textAlignment w:val="auto"/>
              <w:rPr>
                <w:rFonts w:ascii="Times" w:hAnsi="Times" w:eastAsia="Batang"/>
                <w:sz w:val="20"/>
                <w:szCs w:val="20"/>
                <w:lang w:val="en-US" w:eastAsia="en-US"/>
              </w:rPr>
            </w:pPr>
            <w:r>
              <w:rPr>
                <w:rFonts w:hint="eastAsia" w:ascii="Times" w:hAnsi="Times" w:eastAsia="等线"/>
                <w:sz w:val="20"/>
                <w:szCs w:val="20"/>
                <w:lang w:val="en-US" w:eastAsia="zh-CN"/>
              </w:rPr>
              <w:t>Coverage,</w:t>
            </w:r>
          </w:p>
          <w:p w14:paraId="6BCEA6C1">
            <w:pPr>
              <w:numPr>
                <w:ilvl w:val="0"/>
                <w:numId w:val="11"/>
              </w:numPr>
              <w:suppressAutoHyphens/>
              <w:overflowPunct/>
              <w:autoSpaceDE/>
              <w:autoSpaceDN/>
              <w:adjustRightInd/>
              <w:spacing w:after="0" w:line="259" w:lineRule="auto"/>
              <w:jc w:val="both"/>
              <w:textAlignment w:val="auto"/>
              <w:rPr>
                <w:rFonts w:ascii="Times" w:hAnsi="Times" w:eastAsia="Batang"/>
                <w:sz w:val="20"/>
                <w:szCs w:val="20"/>
                <w:lang w:val="en-US" w:eastAsia="en-US"/>
              </w:rPr>
            </w:pPr>
            <w:r>
              <w:rPr>
                <w:rFonts w:ascii="Times" w:hAnsi="Times" w:eastAsia="Batang"/>
                <w:sz w:val="20"/>
                <w:szCs w:val="20"/>
                <w:lang w:val="en-US" w:eastAsia="en-US"/>
              </w:rPr>
              <w:t>Applicable deployment scenarios</w:t>
            </w:r>
            <w:r>
              <w:rPr>
                <w:rFonts w:hint="eastAsia" w:ascii="Times" w:hAnsi="Times" w:eastAsia="等线"/>
                <w:sz w:val="20"/>
                <w:szCs w:val="20"/>
                <w:lang w:val="en-US" w:eastAsia="zh-CN"/>
              </w:rPr>
              <w:t>, e.g.,</w:t>
            </w:r>
            <w:r>
              <w:rPr>
                <w:rFonts w:ascii="Times" w:hAnsi="Times" w:eastAsia="Batang"/>
                <w:sz w:val="20"/>
                <w:szCs w:val="20"/>
                <w:lang w:val="en-US" w:eastAsia="en-US"/>
              </w:rPr>
              <w:t>:</w:t>
            </w:r>
          </w:p>
          <w:p w14:paraId="71E036F1">
            <w:pPr>
              <w:numPr>
                <w:ilvl w:val="1"/>
                <w:numId w:val="11"/>
              </w:numPr>
              <w:suppressAutoHyphens/>
              <w:overflowPunct/>
              <w:autoSpaceDE/>
              <w:autoSpaceDN/>
              <w:adjustRightInd/>
              <w:spacing w:after="0" w:line="259" w:lineRule="auto"/>
              <w:jc w:val="both"/>
              <w:textAlignment w:val="auto"/>
              <w:rPr>
                <w:rFonts w:ascii="Times" w:hAnsi="Times" w:eastAsia="Batang"/>
                <w:sz w:val="20"/>
                <w:szCs w:val="20"/>
                <w:lang w:eastAsia="en-US"/>
              </w:rPr>
            </w:pPr>
            <w:r>
              <w:rPr>
                <w:rFonts w:ascii="Times" w:hAnsi="Times" w:eastAsia="Batang"/>
                <w:sz w:val="20"/>
                <w:szCs w:val="20"/>
                <w:lang w:val="en-US" w:eastAsia="en-US"/>
              </w:rPr>
              <w:t>Standalone cell/carrier,</w:t>
            </w:r>
          </w:p>
          <w:p w14:paraId="41A8AD11">
            <w:pPr>
              <w:numPr>
                <w:ilvl w:val="1"/>
                <w:numId w:val="11"/>
              </w:numPr>
              <w:suppressAutoHyphens/>
              <w:overflowPunct/>
              <w:autoSpaceDE/>
              <w:autoSpaceDN/>
              <w:adjustRightInd/>
              <w:spacing w:after="0" w:line="259" w:lineRule="auto"/>
              <w:jc w:val="both"/>
              <w:textAlignment w:val="auto"/>
              <w:rPr>
                <w:rFonts w:ascii="Times" w:hAnsi="Times" w:eastAsia="Batang"/>
                <w:sz w:val="20"/>
                <w:szCs w:val="20"/>
                <w:lang w:eastAsia="en-US"/>
              </w:rPr>
            </w:pPr>
            <w:r>
              <w:rPr>
                <w:rFonts w:hint="eastAsia" w:ascii="Times" w:hAnsi="Times" w:eastAsia="等线"/>
                <w:sz w:val="20"/>
                <w:szCs w:val="20"/>
                <w:lang w:val="en-US" w:eastAsia="zh-CN"/>
              </w:rPr>
              <w:t>Multiple</w:t>
            </w:r>
            <w:r>
              <w:rPr>
                <w:rFonts w:ascii="Times" w:hAnsi="Times" w:eastAsia="Batang"/>
                <w:sz w:val="20"/>
                <w:szCs w:val="20"/>
                <w:lang w:val="en-US" w:eastAsia="en-US"/>
              </w:rPr>
              <w:t xml:space="preserve"> </w:t>
            </w:r>
            <w:r>
              <w:rPr>
                <w:rFonts w:hint="eastAsia" w:ascii="Times" w:hAnsi="Times" w:eastAsia="等线"/>
                <w:sz w:val="20"/>
                <w:szCs w:val="20"/>
                <w:lang w:val="en-US" w:eastAsia="zh-CN"/>
              </w:rPr>
              <w:t>TRPs/</w:t>
            </w:r>
            <w:r>
              <w:rPr>
                <w:rFonts w:ascii="Times" w:hAnsi="Times" w:eastAsia="Batang"/>
                <w:sz w:val="20"/>
                <w:szCs w:val="20"/>
                <w:lang w:val="en-US" w:eastAsia="en-US"/>
              </w:rPr>
              <w:t>cells/carriers</w:t>
            </w:r>
            <w:r>
              <w:rPr>
                <w:rFonts w:hint="eastAsia" w:ascii="Times" w:hAnsi="Times" w:eastAsia="等线"/>
                <w:sz w:val="20"/>
                <w:szCs w:val="20"/>
                <w:lang w:val="en-US" w:eastAsia="zh-CN"/>
              </w:rPr>
              <w:t>.</w:t>
            </w:r>
          </w:p>
          <w:p w14:paraId="6FF35E91">
            <w:pPr>
              <w:tabs>
                <w:tab w:val="left" w:pos="0"/>
              </w:tabs>
              <w:overflowPunct/>
              <w:autoSpaceDE/>
              <w:autoSpaceDN/>
              <w:adjustRightInd/>
              <w:spacing w:after="0" w:line="256" w:lineRule="auto"/>
              <w:textAlignment w:val="auto"/>
              <w:rPr>
                <w:rFonts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667FD27D">
            <w:pPr>
              <w:tabs>
                <w:tab w:val="left" w:pos="0"/>
              </w:tabs>
              <w:overflowPunct/>
              <w:autoSpaceDE/>
              <w:autoSpaceDN/>
              <w:adjustRightInd/>
              <w:spacing w:after="0" w:line="254" w:lineRule="auto"/>
              <w:textAlignment w:val="auto"/>
              <w:rPr>
                <w:rFonts w:ascii="Times" w:hAnsi="Times" w:eastAsia="等线"/>
                <w:sz w:val="20"/>
                <w:szCs w:val="20"/>
                <w:lang w:val="en-US" w:eastAsia="zh-CN"/>
              </w:rPr>
            </w:pPr>
            <w:r>
              <w:rPr>
                <w:rFonts w:ascii="Times" w:hAnsi="Times" w:eastAsia="Batang"/>
                <w:sz w:val="20"/>
                <w:szCs w:val="20"/>
                <w:lang w:val="en-US" w:eastAsia="en-US"/>
              </w:rPr>
              <w:t xml:space="preserve">Study and evaluate DL WUS </w:t>
            </w:r>
            <w:r>
              <w:rPr>
                <w:rFonts w:hint="eastAsia" w:ascii="Times" w:hAnsi="Times" w:eastAsia="Batang"/>
                <w:sz w:val="20"/>
                <w:szCs w:val="20"/>
                <w:lang w:val="en-US" w:eastAsia="en-US"/>
              </w:rPr>
              <w:t xml:space="preserve">of OFDM based sequence </w:t>
            </w:r>
            <w:r>
              <w:rPr>
                <w:rFonts w:ascii="Times" w:hAnsi="Times" w:eastAsia="Batang"/>
                <w:sz w:val="20"/>
                <w:szCs w:val="20"/>
                <w:lang w:val="en-US" w:eastAsia="en-US"/>
              </w:rPr>
              <w:t>and corresponding mechanism</w:t>
            </w:r>
            <w:r>
              <w:rPr>
                <w:rFonts w:hint="eastAsia" w:ascii="Times" w:hAnsi="Times" w:eastAsia="等线"/>
                <w:sz w:val="20"/>
                <w:szCs w:val="20"/>
                <w:lang w:val="en-US" w:eastAsia="zh-CN"/>
              </w:rPr>
              <w:t>s</w:t>
            </w:r>
            <w:r>
              <w:rPr>
                <w:rFonts w:ascii="Times" w:hAnsi="Times" w:eastAsia="Batang"/>
                <w:sz w:val="20"/>
                <w:szCs w:val="20"/>
                <w:lang w:val="en-US" w:eastAsia="en-US"/>
              </w:rPr>
              <w:t xml:space="preserve"> for 6GR EE improvement, regarding </w:t>
            </w:r>
            <w:r>
              <w:rPr>
                <w:rFonts w:hint="eastAsia" w:ascii="Times" w:hAnsi="Times" w:eastAsia="等线"/>
                <w:sz w:val="20"/>
                <w:szCs w:val="20"/>
                <w:lang w:val="en-US" w:eastAsia="zh-CN"/>
              </w:rPr>
              <w:t xml:space="preserve">at least </w:t>
            </w:r>
            <w:r>
              <w:rPr>
                <w:rFonts w:ascii="Times" w:hAnsi="Times" w:eastAsia="Batang"/>
                <w:sz w:val="20"/>
                <w:szCs w:val="20"/>
                <w:lang w:val="en-US" w:eastAsia="en-US"/>
              </w:rPr>
              <w:t>the following aspects:</w:t>
            </w:r>
          </w:p>
          <w:p w14:paraId="50BB0251">
            <w:pPr>
              <w:numPr>
                <w:ilvl w:val="0"/>
                <w:numId w:val="12"/>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ascii="Times" w:hAnsi="Times" w:eastAsia="Batang"/>
                <w:sz w:val="20"/>
                <w:szCs w:val="20"/>
                <w:lang w:val="en-US" w:eastAsia="en-US"/>
              </w:rPr>
              <w:t xml:space="preserve">Coverage target for </w:t>
            </w:r>
            <w:r>
              <w:rPr>
                <w:rFonts w:hint="eastAsia" w:ascii="Times" w:hAnsi="Times" w:eastAsia="等线"/>
                <w:sz w:val="20"/>
                <w:szCs w:val="20"/>
                <w:lang w:val="en-US" w:eastAsia="zh-CN"/>
              </w:rPr>
              <w:t xml:space="preserve">DL </w:t>
            </w:r>
            <w:r>
              <w:rPr>
                <w:rFonts w:ascii="Times" w:hAnsi="Times" w:eastAsia="Batang"/>
                <w:sz w:val="20"/>
                <w:szCs w:val="20"/>
                <w:lang w:val="en-US" w:eastAsia="en-US"/>
              </w:rPr>
              <w:t>WUS (e.g., same as PDCCH, common sync signal, or other)</w:t>
            </w:r>
          </w:p>
          <w:p w14:paraId="3154AF66">
            <w:pPr>
              <w:numPr>
                <w:ilvl w:val="0"/>
                <w:numId w:val="12"/>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hint="eastAsia" w:ascii="Times" w:hAnsi="Times" w:eastAsia="等线"/>
                <w:sz w:val="20"/>
                <w:szCs w:val="20"/>
                <w:lang w:val="en-US" w:eastAsia="zh-CN"/>
              </w:rPr>
              <w:t>M</w:t>
            </w:r>
            <w:r>
              <w:rPr>
                <w:rFonts w:ascii="Times" w:hAnsi="Times" w:eastAsia="Batang"/>
                <w:sz w:val="20"/>
                <w:szCs w:val="20"/>
                <w:lang w:val="en-US" w:eastAsia="en-US"/>
              </w:rPr>
              <w:t>easurements and/or synchronization.</w:t>
            </w:r>
          </w:p>
          <w:p w14:paraId="18D9AAF5">
            <w:pPr>
              <w:numPr>
                <w:ilvl w:val="0"/>
                <w:numId w:val="12"/>
              </w:numPr>
              <w:tabs>
                <w:tab w:val="left" w:pos="0"/>
              </w:tabs>
              <w:suppressAutoHyphens/>
              <w:overflowPunct/>
              <w:autoSpaceDE/>
              <w:autoSpaceDN/>
              <w:adjustRightInd/>
              <w:spacing w:after="0" w:line="254" w:lineRule="auto"/>
              <w:jc w:val="both"/>
              <w:textAlignment w:val="auto"/>
              <w:rPr>
                <w:rFonts w:ascii="Times" w:hAnsi="Times" w:eastAsia="Batang"/>
                <w:sz w:val="20"/>
                <w:szCs w:val="20"/>
                <w:lang w:val="en-US" w:eastAsia="en-US"/>
              </w:rPr>
            </w:pPr>
            <w:r>
              <w:rPr>
                <w:rFonts w:hint="eastAsia" w:ascii="Times" w:hAnsi="Times" w:eastAsia="等线"/>
                <w:sz w:val="20"/>
                <w:szCs w:val="20"/>
                <w:lang w:val="en-US" w:eastAsia="zh-CN"/>
              </w:rPr>
              <w:t>S</w:t>
            </w:r>
            <w:r>
              <w:rPr>
                <w:rFonts w:ascii="Times" w:hAnsi="Times" w:eastAsia="Batang"/>
                <w:sz w:val="20"/>
                <w:szCs w:val="20"/>
                <w:lang w:val="en-US" w:eastAsia="en-US"/>
              </w:rPr>
              <w:t xml:space="preserve">ystem overhead </w:t>
            </w:r>
            <w:r>
              <w:rPr>
                <w:rFonts w:hint="eastAsia" w:ascii="Times" w:hAnsi="Times" w:eastAsia="Batang"/>
                <w:sz w:val="20"/>
                <w:szCs w:val="20"/>
                <w:lang w:val="en-US" w:eastAsia="en-US"/>
              </w:rPr>
              <w:t>and network energy consumption/U</w:t>
            </w:r>
            <w:r>
              <w:rPr>
                <w:rFonts w:hint="eastAsia" w:ascii="Times" w:hAnsi="Times" w:eastAsia="等线"/>
                <w:sz w:val="20"/>
                <w:szCs w:val="20"/>
                <w:lang w:val="en-US" w:eastAsia="zh-CN"/>
              </w:rPr>
              <w:t xml:space="preserve">E energy saving </w:t>
            </w:r>
            <w:r>
              <w:rPr>
                <w:rFonts w:ascii="Times" w:hAnsi="Times" w:eastAsia="Batang"/>
                <w:sz w:val="20"/>
                <w:szCs w:val="20"/>
                <w:lang w:val="en-US" w:eastAsia="en-US"/>
              </w:rPr>
              <w:t>for UE operation with the DL WUS.</w:t>
            </w:r>
          </w:p>
          <w:p w14:paraId="718036BE">
            <w:pPr>
              <w:numPr>
                <w:ilvl w:val="0"/>
                <w:numId w:val="12"/>
              </w:numPr>
              <w:tabs>
                <w:tab w:val="left" w:pos="0"/>
              </w:tabs>
              <w:suppressAutoHyphens/>
              <w:overflowPunct/>
              <w:autoSpaceDE/>
              <w:autoSpaceDN/>
              <w:adjustRightInd/>
              <w:spacing w:after="0" w:line="256" w:lineRule="auto"/>
              <w:jc w:val="both"/>
              <w:textAlignment w:val="auto"/>
              <w:rPr>
                <w:rFonts w:ascii="Times" w:hAnsi="Times" w:eastAsia="等线" w:cs="Arial"/>
                <w:sz w:val="20"/>
                <w:szCs w:val="20"/>
                <w:lang w:val="en-US" w:eastAsia="zh-CN"/>
              </w:rPr>
            </w:pPr>
            <w:r>
              <w:rPr>
                <w:rFonts w:hint="eastAsia" w:ascii="Times" w:hAnsi="Times" w:eastAsia="等线"/>
                <w:sz w:val="20"/>
                <w:szCs w:val="20"/>
                <w:lang w:val="en-US" w:eastAsia="zh-CN"/>
              </w:rPr>
              <w:t>RRC states</w:t>
            </w:r>
          </w:p>
          <w:p w14:paraId="5EC10AA3">
            <w:pPr>
              <w:numPr>
                <w:ilvl w:val="0"/>
                <w:numId w:val="12"/>
              </w:numPr>
              <w:tabs>
                <w:tab w:val="left" w:pos="0"/>
              </w:tabs>
              <w:suppressAutoHyphens/>
              <w:overflowPunct/>
              <w:autoSpaceDE/>
              <w:autoSpaceDN/>
              <w:adjustRightInd/>
              <w:spacing w:after="0" w:line="256" w:lineRule="auto"/>
              <w:jc w:val="both"/>
              <w:textAlignment w:val="auto"/>
              <w:rPr>
                <w:rFonts w:ascii="Times" w:hAnsi="Times" w:eastAsia="等线" w:cs="Arial"/>
                <w:sz w:val="20"/>
                <w:szCs w:val="20"/>
                <w:lang w:val="en-US" w:eastAsia="zh-CN"/>
              </w:rPr>
            </w:pPr>
            <w:r>
              <w:rPr>
                <w:rFonts w:hint="eastAsia" w:ascii="Times" w:hAnsi="Times" w:eastAsia="等线"/>
                <w:sz w:val="20"/>
                <w:szCs w:val="20"/>
                <w:lang w:val="en-US" w:eastAsia="zh-CN"/>
              </w:rPr>
              <w:t>Other functionalities</w:t>
            </w:r>
          </w:p>
          <w:p w14:paraId="2D7B4312">
            <w:pPr>
              <w:tabs>
                <w:tab w:val="left" w:pos="0"/>
              </w:tabs>
              <w:suppressAutoHyphens/>
              <w:overflowPunct/>
              <w:autoSpaceDE/>
              <w:autoSpaceDN/>
              <w:adjustRightInd/>
              <w:spacing w:after="0" w:line="256" w:lineRule="auto"/>
              <w:jc w:val="both"/>
              <w:textAlignment w:val="auto"/>
              <w:rPr>
                <w:rFonts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6CC8D896">
            <w:pPr>
              <w:overflowPunct/>
              <w:autoSpaceDE/>
              <w:autoSpaceDN/>
              <w:adjustRightInd/>
              <w:spacing w:after="0" w:line="252" w:lineRule="auto"/>
              <w:textAlignment w:val="auto"/>
              <w:rPr>
                <w:rFonts w:ascii="Times" w:hAnsi="Times" w:eastAsia="等线" w:cs="Arial"/>
                <w:sz w:val="20"/>
                <w:szCs w:val="20"/>
                <w:lang w:eastAsia="zh-CN"/>
              </w:rPr>
            </w:pPr>
            <w:r>
              <w:rPr>
                <w:rFonts w:ascii="Times" w:hAnsi="Times" w:eastAsia="Calibri" w:cs="Arial"/>
                <w:sz w:val="20"/>
                <w:szCs w:val="20"/>
                <w:lang w:val="en-US" w:eastAsia="en-US"/>
              </w:rPr>
              <w:t>Study</w:t>
            </w:r>
            <w:r>
              <w:rPr>
                <w:rFonts w:ascii="Times" w:hAnsi="Times" w:eastAsia="Calibri" w:cs="Arial"/>
                <w:sz w:val="20"/>
                <w:szCs w:val="20"/>
                <w:lang w:eastAsia="en-US"/>
              </w:rPr>
              <w:t xml:space="preserve"> and evaluate </w:t>
            </w:r>
            <w:r>
              <w:rPr>
                <w:rFonts w:ascii="Times" w:hAnsi="Times" w:eastAsia="等线" w:cs="Arial"/>
                <w:sz w:val="20"/>
                <w:szCs w:val="20"/>
                <w:lang w:eastAsia="zh-CN"/>
              </w:rPr>
              <w:t xml:space="preserve">on-demand sync signal(s) </w:t>
            </w:r>
            <w:r>
              <w:rPr>
                <w:rFonts w:ascii="Times" w:hAnsi="Times" w:eastAsia="等线" w:cs="Arial"/>
                <w:sz w:val="20"/>
                <w:szCs w:val="20"/>
                <w:lang w:val="en-US" w:eastAsia="zh-CN"/>
              </w:rPr>
              <w:t>mechanisms</w:t>
            </w:r>
            <w:r>
              <w:rPr>
                <w:rFonts w:ascii="Times" w:hAnsi="Times" w:eastAsia="Calibri" w:cs="Arial"/>
                <w:sz w:val="20"/>
                <w:szCs w:val="20"/>
                <w:lang w:val="en-US" w:eastAsia="en-US"/>
              </w:rPr>
              <w:t xml:space="preserve"> for 6GR </w:t>
            </w:r>
            <w:r>
              <w:rPr>
                <w:rFonts w:ascii="Times" w:hAnsi="Times" w:eastAsia="Calibri" w:cs="Arial"/>
                <w:sz w:val="20"/>
                <w:szCs w:val="20"/>
                <w:lang w:eastAsia="en-US"/>
              </w:rPr>
              <w:t>energy efficiency</w:t>
            </w:r>
            <w:r>
              <w:rPr>
                <w:rFonts w:ascii="Times" w:hAnsi="Times" w:eastAsia="Calibri" w:cs="Arial"/>
                <w:sz w:val="20"/>
                <w:szCs w:val="20"/>
                <w:lang w:val="en-US" w:eastAsia="en-US"/>
              </w:rPr>
              <w:t>,</w:t>
            </w:r>
            <w:r>
              <w:rPr>
                <w:rFonts w:ascii="Times" w:hAnsi="Times" w:eastAsia="Calibri" w:cs="Arial"/>
                <w:sz w:val="20"/>
                <w:szCs w:val="20"/>
                <w:lang w:eastAsia="en-US"/>
              </w:rPr>
              <w:t xml:space="preserve"> considering, e.g.,:</w:t>
            </w:r>
          </w:p>
          <w:p w14:paraId="7029E488">
            <w:pPr>
              <w:numPr>
                <w:ilvl w:val="0"/>
                <w:numId w:val="13"/>
              </w:numPr>
              <w:suppressAutoHyphens/>
              <w:overflowPunct/>
              <w:autoSpaceDE/>
              <w:autoSpaceDN/>
              <w:adjustRightInd/>
              <w:spacing w:after="0" w:line="252" w:lineRule="auto"/>
              <w:jc w:val="both"/>
              <w:textAlignment w:val="auto"/>
              <w:rPr>
                <w:rFonts w:ascii="Times" w:hAnsi="Times" w:eastAsia="Calibri" w:cs="Arial"/>
                <w:sz w:val="20"/>
                <w:szCs w:val="20"/>
                <w:lang w:val="en-US" w:eastAsia="zh-CN"/>
              </w:rPr>
            </w:pPr>
            <w:r>
              <w:rPr>
                <w:rFonts w:ascii="Times" w:hAnsi="Times" w:eastAsia="Calibri" w:cs="Arial"/>
                <w:sz w:val="20"/>
                <w:szCs w:val="20"/>
                <w:lang w:val="en-US" w:eastAsia="zh-CN"/>
              </w:rPr>
              <w:t>On-demand sync signal(s) for single cell/carrier, multi-carrier/cell, multi-TRP,</w:t>
            </w:r>
          </w:p>
          <w:p w14:paraId="123120EE">
            <w:pPr>
              <w:numPr>
                <w:ilvl w:val="0"/>
                <w:numId w:val="13"/>
              </w:numPr>
              <w:suppressAutoHyphens/>
              <w:overflowPunct/>
              <w:autoSpaceDE/>
              <w:autoSpaceDN/>
              <w:adjustRightInd/>
              <w:spacing w:after="0" w:line="252" w:lineRule="auto"/>
              <w:jc w:val="both"/>
              <w:textAlignment w:val="auto"/>
              <w:rPr>
                <w:rFonts w:ascii="Times" w:hAnsi="Times" w:eastAsia="Calibri" w:cs="Arial"/>
                <w:sz w:val="20"/>
                <w:szCs w:val="20"/>
                <w:lang w:eastAsia="en-US"/>
              </w:rPr>
            </w:pPr>
            <w:r>
              <w:rPr>
                <w:rFonts w:ascii="Times" w:hAnsi="Times" w:eastAsia="等线" w:cs="Arial"/>
                <w:sz w:val="20"/>
                <w:szCs w:val="20"/>
                <w:lang w:eastAsia="zh-CN"/>
              </w:rPr>
              <w:t>Network-triggered and UE-triggered on-demand sync signal(s),</w:t>
            </w:r>
          </w:p>
          <w:p w14:paraId="01C9171E">
            <w:pPr>
              <w:numPr>
                <w:ilvl w:val="0"/>
                <w:numId w:val="13"/>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ascii="Times" w:hAnsi="Times" w:eastAsia="等线" w:cs="Arial"/>
                <w:sz w:val="20"/>
                <w:szCs w:val="20"/>
                <w:lang w:eastAsia="zh-CN"/>
              </w:rPr>
              <w:t>Idle and/or connected modes,</w:t>
            </w:r>
          </w:p>
          <w:p w14:paraId="1A888669">
            <w:pPr>
              <w:numPr>
                <w:ilvl w:val="0"/>
                <w:numId w:val="13"/>
              </w:numPr>
              <w:suppressAutoHyphens/>
              <w:overflowPunct/>
              <w:autoSpaceDE/>
              <w:autoSpaceDN/>
              <w:adjustRightInd/>
              <w:spacing w:after="0" w:line="252" w:lineRule="auto"/>
              <w:jc w:val="both"/>
              <w:textAlignment w:val="auto"/>
              <w:rPr>
                <w:rFonts w:ascii="Times" w:hAnsi="Times" w:eastAsia="Calibri" w:cs="Arial"/>
                <w:sz w:val="20"/>
                <w:szCs w:val="20"/>
                <w:lang w:eastAsia="en-US"/>
              </w:rPr>
            </w:pPr>
            <w:r>
              <w:rPr>
                <w:rFonts w:ascii="Times" w:hAnsi="Times" w:eastAsia="等线" w:cs="Arial"/>
                <w:sz w:val="20"/>
                <w:szCs w:val="20"/>
                <w:lang w:eastAsia="zh-CN"/>
              </w:rPr>
              <w:t>Other mechanisms/aspects/signals/channels are not precluded.</w:t>
            </w:r>
          </w:p>
          <w:p w14:paraId="02991995">
            <w:pPr>
              <w:tabs>
                <w:tab w:val="left" w:pos="0"/>
              </w:tabs>
              <w:suppressAutoHyphens/>
              <w:overflowPunct/>
              <w:autoSpaceDE/>
              <w:autoSpaceDN/>
              <w:adjustRightInd/>
              <w:spacing w:after="0" w:line="256" w:lineRule="auto"/>
              <w:jc w:val="both"/>
              <w:textAlignment w:val="auto"/>
              <w:rPr>
                <w:rFonts w:ascii="Times" w:hAnsi="Times" w:eastAsia="等线" w:cs="Arial"/>
                <w:sz w:val="20"/>
                <w:szCs w:val="20"/>
                <w:highlight w:val="green"/>
                <w:lang w:val="en-US" w:eastAsia="zh-CN"/>
              </w:rPr>
            </w:pPr>
            <w:r>
              <w:rPr>
                <w:rFonts w:hint="eastAsia" w:ascii="Times" w:hAnsi="Times" w:eastAsia="等线" w:cs="Arial"/>
                <w:sz w:val="20"/>
                <w:szCs w:val="20"/>
                <w:highlight w:val="green"/>
                <w:lang w:val="en-US" w:eastAsia="zh-CN"/>
              </w:rPr>
              <w:t>Agreement</w:t>
            </w:r>
          </w:p>
          <w:p w14:paraId="46770C6C">
            <w:pPr>
              <w:overflowPunct/>
              <w:autoSpaceDE/>
              <w:autoSpaceDN/>
              <w:adjustRightInd/>
              <w:spacing w:after="0" w:line="252" w:lineRule="auto"/>
              <w:textAlignment w:val="auto"/>
              <w:rPr>
                <w:rFonts w:ascii="Times" w:hAnsi="Times" w:eastAsia="等线" w:cs="Arial"/>
                <w:sz w:val="20"/>
                <w:szCs w:val="20"/>
                <w:lang w:eastAsia="zh-CN"/>
              </w:rPr>
            </w:pPr>
            <w:r>
              <w:rPr>
                <w:rFonts w:ascii="Times" w:hAnsi="Times" w:eastAsia="Calibri" w:cs="Arial"/>
                <w:sz w:val="20"/>
                <w:szCs w:val="20"/>
                <w:lang w:val="en-US" w:eastAsia="en-US"/>
              </w:rPr>
              <w:t>Study</w:t>
            </w:r>
            <w:r>
              <w:rPr>
                <w:rFonts w:ascii="Times" w:hAnsi="Times" w:eastAsia="Calibri" w:cs="Arial"/>
                <w:sz w:val="20"/>
                <w:szCs w:val="20"/>
                <w:lang w:eastAsia="en-US"/>
              </w:rPr>
              <w:t xml:space="preserve"> and evaluate </w:t>
            </w:r>
            <w:r>
              <w:rPr>
                <w:rFonts w:ascii="Times" w:hAnsi="Times" w:eastAsia="Calibri" w:cs="Arial"/>
                <w:sz w:val="20"/>
                <w:szCs w:val="20"/>
                <w:lang w:val="en-US" w:eastAsia="en-US"/>
              </w:rPr>
              <w:t>multi-carrier</w:t>
            </w:r>
            <w:r>
              <w:rPr>
                <w:rFonts w:hint="eastAsia" w:ascii="Times" w:hAnsi="Times" w:eastAsia="等线" w:cs="Arial"/>
                <w:sz w:val="20"/>
                <w:szCs w:val="20"/>
                <w:lang w:val="en-US" w:eastAsia="zh-CN"/>
              </w:rPr>
              <w:t>/</w:t>
            </w:r>
            <w:r>
              <w:rPr>
                <w:rFonts w:ascii="Times" w:hAnsi="Times" w:eastAsia="Calibri" w:cs="Arial"/>
                <w:sz w:val="20"/>
                <w:szCs w:val="20"/>
                <w:lang w:val="en-US" w:eastAsia="zh-CN"/>
              </w:rPr>
              <w:t>cells</w:t>
            </w:r>
            <w:r>
              <w:rPr>
                <w:rFonts w:hint="eastAsia" w:ascii="Times" w:hAnsi="Times" w:eastAsia="等线" w:cs="Arial"/>
                <w:sz w:val="20"/>
                <w:szCs w:val="20"/>
                <w:lang w:val="en-US" w:eastAsia="zh-CN"/>
              </w:rPr>
              <w:t>/TRPs</w:t>
            </w:r>
            <w:r>
              <w:rPr>
                <w:rFonts w:ascii="Times" w:hAnsi="Times" w:eastAsia="Calibri" w:cs="Arial"/>
                <w:sz w:val="20"/>
                <w:szCs w:val="20"/>
                <w:lang w:val="en-US" w:eastAsia="en-US"/>
              </w:rPr>
              <w:t xml:space="preserve"> </w:t>
            </w:r>
            <w:r>
              <w:rPr>
                <w:rFonts w:ascii="Times" w:hAnsi="Times" w:eastAsia="等线" w:cs="Arial"/>
                <w:sz w:val="20"/>
                <w:szCs w:val="20"/>
                <w:lang w:val="en-US" w:eastAsia="zh-CN"/>
              </w:rPr>
              <w:t>mechanisms</w:t>
            </w:r>
            <w:r>
              <w:rPr>
                <w:rFonts w:ascii="Times" w:hAnsi="Times" w:eastAsia="Calibri" w:cs="Arial"/>
                <w:sz w:val="20"/>
                <w:szCs w:val="20"/>
                <w:lang w:val="en-US" w:eastAsia="en-US"/>
              </w:rPr>
              <w:t xml:space="preserve"> for 6GR NES,</w:t>
            </w:r>
            <w:r>
              <w:rPr>
                <w:rFonts w:ascii="Times" w:hAnsi="Times" w:eastAsia="Calibri" w:cs="Arial"/>
                <w:sz w:val="20"/>
                <w:szCs w:val="20"/>
                <w:lang w:eastAsia="en-US"/>
              </w:rPr>
              <w:t xml:space="preserve"> considering, e.g.,:</w:t>
            </w:r>
          </w:p>
          <w:p w14:paraId="711C666F">
            <w:pPr>
              <w:numPr>
                <w:ilvl w:val="0"/>
                <w:numId w:val="13"/>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ascii="Times" w:hAnsi="Times" w:eastAsia="Calibri" w:cs="Arial"/>
                <w:sz w:val="20"/>
                <w:szCs w:val="20"/>
                <w:lang w:val="en-US" w:eastAsia="zh-CN"/>
              </w:rPr>
              <w:t>Sync signal-less carriers/cells</w:t>
            </w:r>
            <w:r>
              <w:rPr>
                <w:rFonts w:hint="eastAsia" w:ascii="Times" w:hAnsi="Times" w:eastAsia="等线" w:cs="Arial"/>
                <w:sz w:val="20"/>
                <w:szCs w:val="20"/>
                <w:lang w:val="en-US" w:eastAsia="zh-CN"/>
              </w:rPr>
              <w:t>/TRPs</w:t>
            </w:r>
            <w:r>
              <w:rPr>
                <w:rFonts w:ascii="Times" w:hAnsi="Times" w:eastAsia="Calibri" w:cs="Arial"/>
                <w:sz w:val="20"/>
                <w:szCs w:val="20"/>
                <w:lang w:val="en-US" w:eastAsia="zh-CN"/>
              </w:rPr>
              <w:t xml:space="preserve"> for at least intra-band and collocated inter-band multi-carrier/cell</w:t>
            </w:r>
            <w:r>
              <w:rPr>
                <w:rFonts w:hint="eastAsia" w:ascii="Times" w:hAnsi="Times" w:eastAsia="等线" w:cs="Arial"/>
                <w:sz w:val="20"/>
                <w:szCs w:val="20"/>
                <w:lang w:val="en-US" w:eastAsia="zh-CN"/>
              </w:rPr>
              <w:t>/TRPs</w:t>
            </w:r>
            <w:r>
              <w:rPr>
                <w:rFonts w:ascii="Times" w:hAnsi="Times" w:eastAsia="等线" w:cs="Arial"/>
                <w:sz w:val="20"/>
                <w:szCs w:val="20"/>
                <w:lang w:val="en-US" w:eastAsia="zh-CN"/>
              </w:rPr>
              <w:t xml:space="preserve">, including </w:t>
            </w:r>
            <w:r>
              <w:rPr>
                <w:rFonts w:hint="eastAsia" w:ascii="Times" w:hAnsi="Times" w:eastAsia="等线" w:cs="Arial"/>
                <w:sz w:val="20"/>
                <w:szCs w:val="20"/>
                <w:lang w:val="en-US" w:eastAsia="zh-CN"/>
              </w:rPr>
              <w:t xml:space="preserve">potential </w:t>
            </w:r>
            <w:r>
              <w:rPr>
                <w:rFonts w:ascii="Times" w:hAnsi="Times" w:eastAsia="等线" w:cs="Arial"/>
                <w:sz w:val="20"/>
                <w:szCs w:val="20"/>
                <w:lang w:val="en-US" w:eastAsia="zh-CN"/>
              </w:rPr>
              <w:t>e</w:t>
            </w:r>
            <w:r>
              <w:rPr>
                <w:rFonts w:ascii="Times" w:hAnsi="Times" w:eastAsia="Calibri" w:cs="Arial"/>
                <w:sz w:val="20"/>
                <w:szCs w:val="20"/>
                <w:lang w:val="en-US" w:eastAsia="zh-CN"/>
              </w:rPr>
              <w:t>xtensions to additional deployments and scenarios,</w:t>
            </w:r>
          </w:p>
          <w:p w14:paraId="6CB43031">
            <w:pPr>
              <w:numPr>
                <w:ilvl w:val="0"/>
                <w:numId w:val="13"/>
              </w:numPr>
              <w:suppressAutoHyphens/>
              <w:overflowPunct/>
              <w:autoSpaceDE/>
              <w:autoSpaceDN/>
              <w:adjustRightInd/>
              <w:spacing w:after="0" w:line="252" w:lineRule="auto"/>
              <w:jc w:val="both"/>
              <w:textAlignment w:val="auto"/>
              <w:rPr>
                <w:rFonts w:ascii="Times" w:hAnsi="Times" w:eastAsia="Calibri" w:cs="Arial"/>
                <w:strike/>
                <w:sz w:val="20"/>
                <w:szCs w:val="20"/>
                <w:lang w:val="en-US" w:eastAsia="en-US"/>
              </w:rPr>
            </w:pPr>
            <w:r>
              <w:rPr>
                <w:rFonts w:hint="eastAsia" w:ascii="Times" w:hAnsi="Times" w:eastAsia="等线" w:cs="Arial"/>
                <w:sz w:val="20"/>
                <w:szCs w:val="20"/>
                <w:lang w:eastAsia="zh-CN"/>
              </w:rPr>
              <w:t>RRC states</w:t>
            </w:r>
            <w:r>
              <w:rPr>
                <w:rFonts w:ascii="Times" w:hAnsi="Times" w:eastAsia="等线" w:cs="Arial"/>
                <w:sz w:val="20"/>
                <w:szCs w:val="20"/>
                <w:lang w:eastAsia="zh-CN"/>
              </w:rPr>
              <w:t>,</w:t>
            </w:r>
          </w:p>
          <w:p w14:paraId="57A9AF20">
            <w:pPr>
              <w:numPr>
                <w:ilvl w:val="0"/>
                <w:numId w:val="12"/>
              </w:numPr>
              <w:overflowPunct/>
              <w:autoSpaceDE/>
              <w:autoSpaceDN/>
              <w:adjustRightInd/>
              <w:spacing w:after="0"/>
              <w:textAlignment w:val="auto"/>
              <w:rPr>
                <w:rFonts w:ascii="Aptos" w:hAnsi="Aptos" w:cs="Aptos"/>
                <w:sz w:val="20"/>
                <w:szCs w:val="20"/>
                <w:lang w:val="en-US" w:eastAsia="zh-CN"/>
              </w:rPr>
            </w:pPr>
            <w:r>
              <w:rPr>
                <w:rFonts w:ascii="Times" w:hAnsi="Times"/>
                <w:sz w:val="20"/>
                <w:szCs w:val="20"/>
                <w:lang w:val="en-US" w:eastAsia="zh-CN"/>
              </w:rPr>
              <w:t>UE energy consumption and complexity,</w:t>
            </w:r>
          </w:p>
          <w:p w14:paraId="38585A84">
            <w:pPr>
              <w:keepNext w:val="0"/>
              <w:keepLines w:val="0"/>
              <w:pageBreakBefore w:val="0"/>
              <w:widowControl/>
              <w:kinsoku/>
              <w:wordWrap/>
              <w:topLinePunct w:val="0"/>
              <w:bidi w:val="0"/>
              <w:snapToGrid/>
              <w:spacing w:before="60" w:after="60" w:line="240" w:lineRule="auto"/>
              <w:jc w:val="left"/>
              <w:rPr>
                <w:rFonts w:hint="default" w:ascii="Times New Roman" w:hAnsi="Times New Roman" w:eastAsia="等线"/>
                <w:bCs/>
                <w:iCs/>
                <w:sz w:val="20"/>
                <w:szCs w:val="20"/>
                <w:vertAlign w:val="baseline"/>
                <w:lang w:val="en-US" w:eastAsia="zh-CN"/>
              </w:rPr>
            </w:pPr>
            <w:r>
              <w:rPr>
                <w:rFonts w:ascii="Times" w:hAnsi="Times" w:eastAsia="等线" w:cs="Arial"/>
                <w:sz w:val="20"/>
                <w:szCs w:val="20"/>
                <w:lang w:eastAsia="zh-CN"/>
              </w:rPr>
              <w:t>Other mechanisms/aspects/signals/channels are not precluded.</w:t>
            </w:r>
          </w:p>
        </w:tc>
      </w:tr>
    </w:tbl>
    <w:p w14:paraId="01D877E3">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Sync signals plays an critical role on measurement, synchronization, timing and system information acquisition. Therefore, the design of sync signal is highly related to RRM requirement.</w:t>
      </w:r>
    </w:p>
    <w:p w14:paraId="3000A7F1">
      <w:pPr>
        <w:keepNext w:val="0"/>
        <w:keepLines w:val="0"/>
        <w:pageBreakBefore w:val="0"/>
        <w:kinsoku/>
        <w:wordWrap/>
        <w:topLinePunct w:val="0"/>
        <w:bidi w:val="0"/>
        <w:snapToGrid/>
        <w:spacing w:before="60" w:after="60" w:line="240" w:lineRule="auto"/>
        <w:rPr>
          <w:rFonts w:hint="default" w:ascii="Times" w:hAnsi="Times" w:eastAsia="等线" w:cs="Arial"/>
          <w:sz w:val="20"/>
          <w:szCs w:val="20"/>
          <w:lang w:val="en-US" w:eastAsia="zh-CN"/>
        </w:rPr>
      </w:pPr>
      <w:r>
        <w:rPr>
          <w:rFonts w:hint="eastAsia" w:ascii="Times New Roman" w:hAnsi="Times New Roman" w:eastAsia="等线"/>
          <w:bCs/>
          <w:iCs/>
          <w:sz w:val="20"/>
          <w:szCs w:val="20"/>
          <w:lang w:val="en-US" w:eastAsia="zh-CN"/>
        </w:rPr>
        <w:t xml:space="preserve">As listed above, several sync signal mechanisms are currently under study in RAN1, including the </w:t>
      </w:r>
      <w:r>
        <w:rPr>
          <w:rFonts w:hint="eastAsia" w:ascii="Times" w:hAnsi="Times" w:eastAsia="等线" w:cs="Arial"/>
          <w:sz w:val="20"/>
          <w:szCs w:val="20"/>
          <w:lang w:eastAsia="zh-CN"/>
        </w:rPr>
        <w:t xml:space="preserve">20ms and longer </w:t>
      </w:r>
      <w:r>
        <w:rPr>
          <w:rFonts w:ascii="Times" w:hAnsi="Times" w:eastAsia="Calibri" w:cs="Arial"/>
          <w:sz w:val="20"/>
          <w:szCs w:val="20"/>
          <w:lang w:eastAsia="en-US"/>
        </w:rPr>
        <w:t>periodicit</w:t>
      </w:r>
      <w:r>
        <w:rPr>
          <w:rFonts w:hint="eastAsia" w:ascii="Times" w:hAnsi="Times" w:eastAsia="等线" w:cs="Arial"/>
          <w:sz w:val="20"/>
          <w:szCs w:val="20"/>
          <w:lang w:eastAsia="zh-CN"/>
        </w:rPr>
        <w:t>ies</w:t>
      </w:r>
      <w:r>
        <w:rPr>
          <w:rFonts w:ascii="Times" w:hAnsi="Times" w:eastAsia="Calibri" w:cs="Arial"/>
          <w:sz w:val="20"/>
          <w:szCs w:val="20"/>
          <w:lang w:eastAsia="en-US"/>
        </w:rPr>
        <w:t xml:space="preserve"> of sync signal(s)</w:t>
      </w:r>
      <w:r>
        <w:rPr>
          <w:rFonts w:hint="eastAsia" w:ascii="Times" w:hAnsi="Times" w:eastAsia="宋体" w:cs="Arial"/>
          <w:sz w:val="20"/>
          <w:szCs w:val="20"/>
          <w:lang w:val="en-US" w:eastAsia="zh-CN"/>
        </w:rPr>
        <w:t xml:space="preserve">, on-demand </w:t>
      </w:r>
      <w:r>
        <w:rPr>
          <w:rFonts w:ascii="Times" w:hAnsi="Times" w:eastAsia="等线" w:cs="Arial"/>
          <w:sz w:val="20"/>
          <w:szCs w:val="20"/>
          <w:lang w:eastAsia="zh-CN"/>
        </w:rPr>
        <w:t>sync signal(s)</w:t>
      </w:r>
      <w:r>
        <w:rPr>
          <w:rFonts w:hint="eastAsia" w:ascii="Times" w:hAnsi="Times" w:eastAsia="等线" w:cs="Arial"/>
          <w:sz w:val="20"/>
          <w:szCs w:val="20"/>
          <w:lang w:val="en-US" w:eastAsia="zh-CN"/>
        </w:rPr>
        <w:t xml:space="preserve">, </w:t>
      </w:r>
      <w:r>
        <w:rPr>
          <w:rFonts w:ascii="Times" w:hAnsi="Times" w:eastAsia="Calibri" w:cs="Arial"/>
          <w:sz w:val="20"/>
          <w:szCs w:val="20"/>
          <w:lang w:val="en-US" w:eastAsia="zh-CN"/>
        </w:rPr>
        <w:t>signal-less carriers/cells</w:t>
      </w:r>
      <w:r>
        <w:rPr>
          <w:rFonts w:hint="eastAsia" w:ascii="Times" w:hAnsi="Times" w:eastAsia="等线" w:cs="Arial"/>
          <w:sz w:val="20"/>
          <w:szCs w:val="20"/>
          <w:lang w:val="en-US" w:eastAsia="zh-CN"/>
        </w:rPr>
        <w:t>/TRPs and on-demand SIB-1, these can also be early involved in RAN4 study scope. These mechanisms were initially introduced in 5G stage with scenario limitation, as optional features on top of 5G baseline design. The work accomplished in 5G can be the starting point for 6G-Day1 requirement discussion, with necessary revisions and updates based on RAN1</w:t>
      </w:r>
      <w:r>
        <w:rPr>
          <w:rFonts w:hint="default" w:ascii="Times" w:hAnsi="Times" w:eastAsia="等线" w:cs="Arial"/>
          <w:sz w:val="20"/>
          <w:szCs w:val="20"/>
          <w:lang w:val="en-US" w:eastAsia="zh-CN"/>
        </w:rPr>
        <w:t>’</w:t>
      </w:r>
      <w:r>
        <w:rPr>
          <w:rFonts w:hint="eastAsia" w:ascii="Times" w:hAnsi="Times" w:eastAsia="等线" w:cs="Arial"/>
          <w:sz w:val="20"/>
          <w:szCs w:val="20"/>
          <w:lang w:val="en-US" w:eastAsia="zh-CN"/>
        </w:rPr>
        <w:t>s further design on scenarios, procedures and signals.</w:t>
      </w:r>
    </w:p>
    <w:p w14:paraId="2FF54645">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w:hAnsi="Times" w:eastAsia="等线" w:cs="Arial"/>
          <w:sz w:val="20"/>
          <w:szCs w:val="20"/>
          <w:lang w:val="en-US" w:eastAsia="zh-CN"/>
        </w:rPr>
      </w:pPr>
      <w:r>
        <w:rPr>
          <w:rFonts w:hint="eastAsia" w:ascii="Times New Roman" w:hAnsi="Times New Roman" w:eastAsia="等线"/>
          <w:b/>
          <w:bCs w:val="0"/>
          <w:i/>
          <w:iCs w:val="0"/>
          <w:sz w:val="20"/>
          <w:szCs w:val="20"/>
          <w:lang w:val="en-US" w:eastAsia="zh-CN"/>
        </w:rPr>
        <w:t xml:space="preserve">Proposal 15: For network energy efficiency, the 20ms and longer </w:t>
      </w:r>
      <w:r>
        <w:rPr>
          <w:rFonts w:hint="eastAsia" w:ascii="Times New Roman" w:hAnsi="Times New Roman" w:eastAsia="等线"/>
          <w:b/>
          <w:bCs w:val="0"/>
          <w:i/>
          <w:iCs w:val="0"/>
          <w:sz w:val="20"/>
          <w:szCs w:val="20"/>
          <w:lang w:val="en-US" w:eastAsia="en-US"/>
        </w:rPr>
        <w:t>periodicit</w:t>
      </w:r>
      <w:r>
        <w:rPr>
          <w:rFonts w:hint="eastAsia" w:ascii="Times New Roman" w:hAnsi="Times New Roman" w:eastAsia="等线"/>
          <w:b/>
          <w:bCs w:val="0"/>
          <w:i/>
          <w:iCs w:val="0"/>
          <w:sz w:val="20"/>
          <w:szCs w:val="20"/>
          <w:lang w:val="en-US" w:eastAsia="zh-CN"/>
        </w:rPr>
        <w:t>ies</w:t>
      </w:r>
      <w:r>
        <w:rPr>
          <w:rFonts w:hint="eastAsia" w:ascii="Times New Roman" w:hAnsi="Times New Roman" w:eastAsia="等线"/>
          <w:b/>
          <w:bCs w:val="0"/>
          <w:i/>
          <w:iCs w:val="0"/>
          <w:sz w:val="20"/>
          <w:szCs w:val="20"/>
          <w:lang w:val="en-US" w:eastAsia="en-US"/>
        </w:rPr>
        <w:t xml:space="preserve"> of sync signal(s)</w:t>
      </w:r>
      <w:r>
        <w:rPr>
          <w:rFonts w:hint="eastAsia" w:ascii="Times New Roman" w:hAnsi="Times New Roman" w:eastAsia="等线"/>
          <w:b/>
          <w:bCs w:val="0"/>
          <w:i/>
          <w:iCs w:val="0"/>
          <w:sz w:val="20"/>
          <w:szCs w:val="20"/>
          <w:lang w:val="en-US" w:eastAsia="zh-CN"/>
        </w:rPr>
        <w:t>, on-demand sync signal(s), signal-less carriers/cells/TRPs, on-demand SIB-1 mechanisms can be involved in RAN4 study scope, and the corresponding work in 5G can be the starting point.</w:t>
      </w:r>
    </w:p>
    <w:p w14:paraId="52D20123">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the perspective of UE energy efficiency, as mentioned above, DL-WUS</w:t>
      </w:r>
      <w:r>
        <w:rPr>
          <w:rFonts w:hint="eastAsia" w:ascii="Times New Roman" w:hAnsi="Times New Roman" w:eastAsia="等线"/>
          <w:bCs/>
          <w:iCs/>
          <w:sz w:val="20"/>
          <w:szCs w:val="20"/>
          <w:lang w:val="en-US" w:eastAsia="en-US"/>
        </w:rPr>
        <w:t xml:space="preserve"> of OFDM based sequence and corresponding mechanism</w:t>
      </w:r>
      <w:r>
        <w:rPr>
          <w:rFonts w:hint="eastAsia" w:ascii="Times New Roman" w:hAnsi="Times New Roman" w:eastAsia="等线"/>
          <w:bCs/>
          <w:iCs/>
          <w:sz w:val="20"/>
          <w:szCs w:val="20"/>
          <w:lang w:val="en-US" w:eastAsia="zh-CN"/>
        </w:rPr>
        <w:t>s are being studied in RAN1 Group. Similarly, in 5G, the feature of LP-WUS/LP-SS(both OOK based and OFDM based sequence) has been introduced, and RAN4 defined the corresponding measurement requirement for both MR and LR for this feature. This existing framework can be used as the starting point with necessary revision and update based on RAN1</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s further design on scenarios, procedures and signals.</w:t>
      </w:r>
    </w:p>
    <w:p w14:paraId="3C1C604A">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Additionally, from RAN4 RRM standpoint, the L1/L3 measurement occupy the main energy consumption. From initial 5G design, the measurement requirements are bounded with DRX cycle configuration, which can help UE unified behavior in DRX ON/OFF period, target to energy efficiency purpose. Some further power saving features has been introduced in subsequent releases, including the measurement relaxation in RRC IDLE/Inactive, RLM/BFD measurement relaxation, LP-WUR assistance and so on. All aim at measurement relax under good link quality and low mobility state. For 6G Day1, we think all lessons from NR can be considered for measurement design of energy efficiency purpose, we list our initial consideration below. However, most of them need the PHY and higher layer support, RAN4 need to wait the RAN1/RAN2 progress and then refine our design strategy.</w:t>
      </w:r>
    </w:p>
    <w:p w14:paraId="741E377A">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Whether to continue the DRX cycle bounded measurement requirement in 6G</w:t>
      </w:r>
    </w:p>
    <w:p w14:paraId="7D08B9B6">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Whether to integrate the link quality and mobility state with measurement requirement in 6G Day1</w:t>
      </w:r>
    </w:p>
    <w:p w14:paraId="76012F1B">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Omitting repeated measurement behaviors. Unified L1/L3 measurement as we discussed in Clause 2.2 can be the starting point.</w:t>
      </w:r>
    </w:p>
    <w:p w14:paraId="619C9361">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16: For UE energy efficiency, RAN4 need to wait the RAN1/RAN2 progress and then refine measurement design strategy, our initial thinking is as below:</w:t>
      </w:r>
    </w:p>
    <w:p w14:paraId="5DEBDE5E">
      <w:pPr>
        <w:keepNext w:val="0"/>
        <w:keepLines w:val="0"/>
        <w:pageBreakBefore w:val="0"/>
        <w:numPr>
          <w:ilvl w:val="0"/>
          <w:numId w:val="15"/>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DL-WUS mechanism can be involved in RAN4 study scope, the LP-WUR related work in 5G can be the starting point</w:t>
      </w:r>
    </w:p>
    <w:p w14:paraId="0459EDDC">
      <w:pPr>
        <w:keepNext w:val="0"/>
        <w:keepLines w:val="0"/>
        <w:pageBreakBefore w:val="0"/>
        <w:numPr>
          <w:ilvl w:val="0"/>
          <w:numId w:val="15"/>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Whether to continue the DRX cycle bounded measurement requirement in 6G</w:t>
      </w:r>
    </w:p>
    <w:p w14:paraId="004A5083">
      <w:pPr>
        <w:keepNext w:val="0"/>
        <w:keepLines w:val="0"/>
        <w:pageBreakBefore w:val="0"/>
        <w:numPr>
          <w:ilvl w:val="0"/>
          <w:numId w:val="15"/>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Whether to integrate the link quality and mobility state with measurement requirement in 6G Day1</w:t>
      </w:r>
    </w:p>
    <w:p w14:paraId="3E85A943">
      <w:pPr>
        <w:keepNext w:val="0"/>
        <w:keepLines w:val="0"/>
        <w:pageBreakBefore w:val="0"/>
        <w:numPr>
          <w:ilvl w:val="0"/>
          <w:numId w:val="15"/>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Merge repeated measurement behaviors. Unified L1/L3 measurement as we discussed in Clause 2.2 can be the starting point.</w:t>
      </w:r>
    </w:p>
    <w:p w14:paraId="29C19278">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9"/>
        <w:rPr>
          <w:rFonts w:hint="eastAsia" w:ascii="Times New Roman" w:hAnsi="Times New Roman" w:eastAsia="等线"/>
          <w:b/>
          <w:bCs w:val="0"/>
          <w:iCs/>
          <w:sz w:val="20"/>
          <w:szCs w:val="20"/>
          <w:lang w:val="en-US" w:eastAsia="zh-CN"/>
        </w:rPr>
      </w:pPr>
    </w:p>
    <w:p w14:paraId="45F469DF">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2.5 Spectrum aggregation and CA related RRM</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A9A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B145461">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8: Spectrum aggregation and CA related RRM</w:t>
            </w:r>
          </w:p>
          <w:p w14:paraId="4C8E67D4">
            <w:pPr>
              <w:rPr>
                <w:rFonts w:hint="default" w:ascii="Times New Roman" w:hAnsi="Times New Roman" w:cs="Times New Roman"/>
                <w:bCs/>
                <w:color w:val="0070C0"/>
                <w:sz w:val="20"/>
                <w:szCs w:val="20"/>
                <w:u w:val="single"/>
                <w:lang w:eastAsia="ko-KR"/>
              </w:rPr>
            </w:pPr>
            <w:r>
              <w:rPr>
                <w:rFonts w:hint="default" w:ascii="Times New Roman" w:hAnsi="Times New Roman" w:cs="Times New Roman"/>
                <w:bCs/>
                <w:color w:val="0070C0"/>
                <w:sz w:val="20"/>
                <w:szCs w:val="20"/>
                <w:u w:val="single"/>
                <w:lang w:eastAsia="ko-KR"/>
              </w:rPr>
              <w:t>Issue 8: Spectrum aggregation and CA related RRM</w:t>
            </w:r>
          </w:p>
          <w:p w14:paraId="0E32055D">
            <w:pPr>
              <w:pStyle w:val="16"/>
              <w:spacing w:after="120"/>
              <w:ind w:firstLine="0"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rPr>
              <w:t>[Way forward]</w:t>
            </w:r>
          </w:p>
          <w:p w14:paraId="370D5D1F">
            <w:pPr>
              <w:pStyle w:val="16"/>
              <w:numPr>
                <w:ilvl w:val="0"/>
                <w:numId w:val="8"/>
              </w:numPr>
              <w:overflowPunct/>
              <w:autoSpaceDE/>
              <w:autoSpaceDN/>
              <w:adjustRightInd/>
              <w:spacing w:after="120"/>
              <w:ind w:firstLineChars="0"/>
              <w:textAlignment w:val="auto"/>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FFS followings in the RAN4#117 meeting (other sub-topics are not precluded):</w:t>
            </w:r>
          </w:p>
          <w:p w14:paraId="1E0AE8E7">
            <w:pPr>
              <w:pStyle w:val="16"/>
              <w:numPr>
                <w:ilvl w:val="1"/>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to identify which of the following topics can be starts directly in RAN4 RRM with less RAN1/2 and RAN4 RF session dependency:</w:t>
            </w:r>
          </w:p>
          <w:p w14:paraId="23959533">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SCell activation/deactivation, deactivated SCell measurement, fast carrier setup based on </w:t>
            </w:r>
            <w:r>
              <w:rPr>
                <w:rFonts w:hint="default" w:ascii="Times New Roman" w:hAnsi="Times New Roman" w:eastAsia="宋体" w:cs="Times New Roman"/>
                <w:bCs/>
                <w:iCs/>
                <w:sz w:val="20"/>
                <w:szCs w:val="20"/>
              </w:rPr>
              <w:t>6G UE implementations</w:t>
            </w:r>
            <w:r>
              <w:rPr>
                <w:rFonts w:hint="default" w:ascii="Times New Roman" w:hAnsi="Times New Roman" w:eastAsia="宋体" w:cs="Times New Roman"/>
                <w:bCs/>
                <w:sz w:val="20"/>
                <w:szCs w:val="20"/>
              </w:rPr>
              <w:t xml:space="preserve"> (MTK(SCell activation), QC, vivo(activation), Ericsson, Nokia)</w:t>
            </w:r>
          </w:p>
          <w:p w14:paraId="3C89909B">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RRM conditions and requirements for Single Cell Multi-Carriers (MTK, vivo, Samsung, OPPO)</w:t>
            </w:r>
          </w:p>
          <w:p w14:paraId="047D644D">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RRM impacts of  </w:t>
            </w:r>
            <w:r>
              <w:rPr>
                <w:rFonts w:hint="default" w:ascii="Times New Roman" w:hAnsi="Times New Roman" w:eastAsia="宋体" w:cs="Times New Roman"/>
                <w:bCs/>
                <w:iCs/>
                <w:sz w:val="20"/>
                <w:szCs w:val="20"/>
              </w:rPr>
              <w:t>DL and UL decoupling</w:t>
            </w:r>
            <w:r>
              <w:rPr>
                <w:rFonts w:hint="default" w:ascii="Times New Roman" w:hAnsi="Times New Roman" w:eastAsia="宋体" w:cs="Times New Roman"/>
                <w:bCs/>
                <w:sz w:val="20"/>
                <w:szCs w:val="20"/>
              </w:rPr>
              <w:t xml:space="preserve"> (Samsung, Ericsson)</w:t>
            </w:r>
          </w:p>
          <w:p w14:paraId="597D9737">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Carrier switch enhancements for UL and DL (MTK)</w:t>
            </w:r>
          </w:p>
          <w:p w14:paraId="421F107E">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RRM impacts of realistic SCS for spectrum (Samsung)</w:t>
            </w:r>
          </w:p>
          <w:p w14:paraId="3CC880C0">
            <w:pPr>
              <w:pStyle w:val="16"/>
              <w:numPr>
                <w:ilvl w:val="2"/>
                <w:numId w:val="8"/>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iCs/>
                <w:sz w:val="20"/>
                <w:szCs w:val="20"/>
              </w:rPr>
              <w:t>relaxation of the requirement on timing alignment between carriers (Ericsson)</w:t>
            </w:r>
          </w:p>
          <w:p w14:paraId="4D388D94">
            <w:pPr>
              <w:pStyle w:val="16"/>
              <w:numPr>
                <w:ilvl w:val="2"/>
                <w:numId w:val="8"/>
              </w:numPr>
              <w:spacing w:after="120"/>
              <w:ind w:firstLineChars="0"/>
              <w:rPr>
                <w:rFonts w:hint="default" w:ascii="Times New Roman" w:hAnsi="Times New Roman" w:cs="Times New Roman"/>
                <w:i/>
                <w:sz w:val="20"/>
                <w:szCs w:val="20"/>
                <w:vertAlign w:val="baseline"/>
              </w:rPr>
            </w:pPr>
            <w:r>
              <w:rPr>
                <w:rFonts w:hint="default" w:ascii="Times New Roman" w:hAnsi="Times New Roman" w:eastAsia="宋体" w:cs="Times New Roman"/>
                <w:bCs/>
                <w:sz w:val="20"/>
                <w:szCs w:val="20"/>
              </w:rPr>
              <w:t>RRM for MRSS (Samsung)</w:t>
            </w:r>
          </w:p>
        </w:tc>
      </w:tr>
    </w:tbl>
    <w:p w14:paraId="1E241B5F">
      <w:pPr>
        <w:rPr>
          <w:rFonts w:ascii="Times New Roman" w:hAnsi="Times New Roman"/>
          <w:i/>
          <w:sz w:val="20"/>
          <w:szCs w:val="20"/>
        </w:rPr>
      </w:pPr>
    </w:p>
    <w:p w14:paraId="17FB887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 to realize efficient and flexible IDLE/INACTIVE mode multiple carriers operation, and to reduce cell management overhead of existing CA framework, there could be a single cell with multiple carriers as a hyper cell, which can. In detail, for hyper cell (i.e. single cell with multiple carrier), System information can be broadcast on one of the multiple carriers, i.e., so called anchor carrier. Both anchor and non-anchor carrier can be selected by UE for initial access and data transmission. Flexible intra-cell multiple carriers switching, e.g. L1/L2 based multiple carriers activation and deactivation, can be considered for connected mode. The RRM impact due to hyper cell (i.e. single cell with multiple carrier) can be studied if the RAN1/2 agreed to introduce hyper cell (i.e. single cell with multiple carrier) solution. </w:t>
      </w:r>
    </w:p>
    <w:p w14:paraId="76AD476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17: it is proposed to study RRM impact due to hyper cell (i.e. single cell with multiple carrier).   </w:t>
      </w:r>
    </w:p>
    <w:p w14:paraId="18CC8DCB">
      <w:pPr>
        <w:rPr>
          <w:rFonts w:ascii="Times New Roman" w:hAnsi="Times New Roman"/>
          <w:i/>
          <w:sz w:val="20"/>
          <w:szCs w:val="20"/>
        </w:rPr>
      </w:pPr>
    </w:p>
    <w:p w14:paraId="744CF888">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2.6 NTN related RRM</w:t>
      </w:r>
    </w:p>
    <w:p w14:paraId="4D9B230C">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6GR SID, the harmonized 6G Radio design for TN and NTN is the one of the baseline design principles of 6G technology framework.</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646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442CCA9">
            <w:pPr>
              <w:keepNext w:val="0"/>
              <w:keepLines w:val="0"/>
              <w:pageBreakBefore w:val="0"/>
              <w:numPr>
                <w:ilvl w:val="0"/>
                <w:numId w:val="16"/>
              </w:numPr>
              <w:kinsoku/>
              <w:wordWrap/>
              <w:overflowPunct w:val="0"/>
              <w:topLinePunct w:val="0"/>
              <w:autoSpaceDE w:val="0"/>
              <w:autoSpaceDN w:val="0"/>
              <w:bidi w:val="0"/>
              <w:adjustRightInd w:val="0"/>
              <w:snapToGrid/>
              <w:spacing w:before="60" w:after="60" w:line="240" w:lineRule="auto"/>
              <w:ind w:left="72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Single technology framework based on a stand-alone architecture</w:t>
            </w:r>
            <w:r>
              <w:rPr>
                <w:rFonts w:hint="eastAsia" w:ascii="Times New Roman" w:hAnsi="Times New Roman" w:eastAsia="MS Mincho" w:cs="Times New Roman"/>
                <w:color w:val="000000"/>
                <w:sz w:val="20"/>
                <w:szCs w:val="20"/>
                <w:lang w:val="en-GB" w:eastAsia="ja-JP" w:bidi="ar-SA"/>
              </w:rPr>
              <w:t xml:space="preserve"> (Note1)</w:t>
            </w:r>
            <w:r>
              <w:rPr>
                <w:rFonts w:ascii="Times New Roman" w:hAnsi="Times New Roman" w:eastAsia="MS Mincho" w:cs="Times New Roman"/>
                <w:color w:val="000000"/>
                <w:sz w:val="20"/>
                <w:szCs w:val="20"/>
                <w:lang w:val="en-GB" w:eastAsia="en-GB" w:bidi="ar-SA"/>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5D3E4B2">
            <w:pPr>
              <w:keepNext w:val="0"/>
              <w:keepLines w:val="0"/>
              <w:pageBreakBefore w:val="0"/>
              <w:numPr>
                <w:ilvl w:val="1"/>
                <w:numId w:val="17"/>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Ensuring appropriate set of functionalities, minimize the adoption of multiple options for the same functionality, avoid excessive configurations, excessive UE capabilities and UE capabilities reporting.</w:t>
            </w:r>
          </w:p>
          <w:p w14:paraId="31946C78">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highlight w:val="none"/>
                <w:lang w:val="en-GB" w:eastAsia="en-GB" w:bidi="ar-SA"/>
              </w:rPr>
            </w:pPr>
            <w:r>
              <w:rPr>
                <w:rFonts w:ascii="Times New Roman" w:hAnsi="Times New Roman" w:eastAsia="MS Mincho" w:cs="Times New Roman"/>
                <w:color w:val="000000"/>
                <w:sz w:val="20"/>
                <w:szCs w:val="20"/>
                <w:highlight w:val="none"/>
                <w:lang w:val="en-GB" w:eastAsia="en-GB" w:bidi="ar-SA"/>
              </w:rPr>
              <w:t>Energy efficiency and energy saving: both for network and device.</w:t>
            </w:r>
          </w:p>
          <w:p w14:paraId="4C35334C">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 xml:space="preserve">Enhanced spectral efficiency. </w:t>
            </w:r>
          </w:p>
          <w:p w14:paraId="79DBDA20">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Enhanced overall coverage, focus on cell-edge performance and UL coverage.</w:t>
            </w:r>
          </w:p>
          <w:p w14:paraId="5A12D964">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Wider channel bandwidth (at least 200MHz) support for 6G deployments at least above 2 GHz, around 7 GHz.</w:t>
            </w:r>
          </w:p>
          <w:p w14:paraId="5160AB7C">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Re-use of existing 5G mid-band (~3.5GHz) site grid for 6G deployments in at least around 7 GHz and targeting comparable coverage to 5G mid-band.</w:t>
            </w:r>
          </w:p>
          <w:p w14:paraId="67148964">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Target scalable and forward compatible design for diverse device types.</w:t>
            </w:r>
          </w:p>
          <w:p w14:paraId="12B17722">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Improved spectrum utilization and operations taking into account diverse spectrum allocations.</w:t>
            </w:r>
          </w:p>
          <w:p w14:paraId="381AAFC2">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Aim at using common 6G Radio design, which meets mobile broadband service requirements as high priority, to also meet vertical needs.</w:t>
            </w:r>
          </w:p>
          <w:p w14:paraId="00970423">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highlight w:val="yellow"/>
                <w:lang w:val="en-GB" w:eastAsia="en-GB" w:bidi="ar-SA"/>
              </w:rPr>
            </w:pPr>
            <w:r>
              <w:rPr>
                <w:rFonts w:ascii="Times New Roman" w:hAnsi="Times New Roman" w:eastAsia="MS Mincho" w:cs="Times New Roman"/>
                <w:color w:val="000000"/>
                <w:sz w:val="20"/>
                <w:szCs w:val="20"/>
                <w:highlight w:val="yellow"/>
                <w:lang w:val="en-GB" w:eastAsia="en-GB" w:bidi="ar-SA"/>
              </w:rPr>
              <w:t>Aim at a harmonized 6G Radio design for TN and NTN, including their integration.</w:t>
            </w:r>
          </w:p>
          <w:p w14:paraId="22C76928">
            <w:pPr>
              <w:keepNext w:val="0"/>
              <w:keepLines w:val="0"/>
              <w:pageBreakBefore w:val="0"/>
              <w:numPr>
                <w:ilvl w:val="1"/>
                <w:numId w:val="18"/>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hint="eastAsia" w:ascii="Times New Roman" w:hAnsi="Times New Roman" w:eastAsia="等线"/>
                <w:bCs/>
                <w:iCs/>
                <w:sz w:val="20"/>
                <w:szCs w:val="20"/>
                <w:vertAlign w:val="baseline"/>
                <w:lang w:val="en-US" w:eastAsia="zh-CN"/>
              </w:rPr>
            </w:pPr>
            <w:r>
              <w:rPr>
                <w:rFonts w:ascii="Times New Roman" w:hAnsi="Times New Roman" w:eastAsia="MS Mincho" w:cs="Times New Roman"/>
                <w:color w:val="000000"/>
                <w:sz w:val="20"/>
                <w:szCs w:val="20"/>
                <w:lang w:val="en-GB" w:eastAsia="en-GB" w:bidi="ar-SA"/>
              </w:rPr>
              <w:t>System simplification, including reducing configuration complexity, enabling more efficient Cell/UE management, etc.</w:t>
            </w:r>
          </w:p>
        </w:tc>
      </w:tr>
    </w:tbl>
    <w:p w14:paraId="4AAD8865">
      <w:pPr>
        <w:spacing w:after="180" w:line="240" w:lineRule="exact"/>
        <w:rPr>
          <w:rFonts w:hint="eastAsia" w:ascii="Times New Roman" w:hAnsi="Times New Roman" w:eastAsia="等线"/>
          <w:bCs/>
          <w:iCs/>
          <w:sz w:val="20"/>
          <w:szCs w:val="20"/>
          <w:lang w:val="en-US" w:eastAsia="zh-CN"/>
        </w:rPr>
      </w:pPr>
    </w:p>
    <w:p w14:paraId="1CC2A84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achieved following related agreement, the specific discussion on NTN agenda is still pending.</w:t>
      </w:r>
    </w:p>
    <w:p w14:paraId="621B29A4">
      <w:pPr>
        <w:keepNext w:val="0"/>
        <w:keepLines w:val="0"/>
        <w:pageBreakBefore w:val="0"/>
        <w:widowControl/>
        <w:kinsoku/>
        <w:wordWrap/>
        <w:topLinePunct w:val="0"/>
        <w:bidi w:val="0"/>
        <w:snapToGrid/>
        <w:spacing w:before="60" w:after="60" w:line="240" w:lineRule="auto"/>
        <w:jc w:val="left"/>
        <w:rPr>
          <w:rFonts w:ascii="Times New Roman" w:hAnsi="Times New Roman" w:eastAsia="等线"/>
          <w:kern w:val="0"/>
          <w:sz w:val="20"/>
          <w:szCs w:val="20"/>
          <w:highlight w:val="green"/>
          <w:lang w:val="en-US" w:eastAsia="zh-CN"/>
        </w:rPr>
      </w:pPr>
      <w:r>
        <w:rPr>
          <w:rFonts w:hint="eastAsia" w:ascii="Times New Roman" w:hAnsi="Times New Roman" w:eastAsia="等线"/>
          <w:kern w:val="0"/>
          <w:sz w:val="20"/>
          <w:szCs w:val="20"/>
          <w:highlight w:val="green"/>
          <w:lang w:val="en-US" w:eastAsia="zh-CN"/>
        </w:rPr>
        <w:t>Agreement</w:t>
      </w:r>
    </w:p>
    <w:p w14:paraId="0A66F106">
      <w:pPr>
        <w:keepNext w:val="0"/>
        <w:keepLines w:val="0"/>
        <w:pageBreakBefore w:val="0"/>
        <w:numPr>
          <w:ilvl w:val="0"/>
          <w:numId w:val="19"/>
        </w:numPr>
        <w:kinsoku/>
        <w:wordWrap/>
        <w:topLinePunct w:val="0"/>
        <w:bidi w:val="0"/>
        <w:snapToGrid/>
        <w:spacing w:before="60" w:after="60" w:line="240" w:lineRule="auto"/>
        <w:ind w:left="440" w:leftChars="0" w:hanging="440"/>
        <w:contextualSpacing/>
        <w:jc w:val="both"/>
        <w:rPr>
          <w:rFonts w:ascii="Times New Roman" w:hAnsi="Times New Roman" w:eastAsia="Batang" w:cs="Times New Roman"/>
          <w:sz w:val="20"/>
          <w:szCs w:val="20"/>
          <w:highlight w:val="green"/>
          <w:lang w:val="en-US" w:eastAsia="zh-CN" w:bidi="ar-SA"/>
        </w:rPr>
      </w:pPr>
      <w:r>
        <w:rPr>
          <w:rFonts w:hint="eastAsia" w:ascii="Times New Roman" w:hAnsi="Times New Roman" w:eastAsia="Batang" w:cs="Times New Roman"/>
          <w:sz w:val="20"/>
          <w:szCs w:val="20"/>
          <w:highlight w:val="green"/>
          <w:lang w:val="en-US" w:eastAsia="zh-CN" w:bidi="ar-SA"/>
        </w:rPr>
        <w:t xml:space="preserve">For </w:t>
      </w:r>
      <w:r>
        <w:rPr>
          <w:rFonts w:ascii="Times New Roman" w:hAnsi="Times New Roman" w:eastAsia="Batang" w:cs="Times New Roman"/>
          <w:sz w:val="20"/>
          <w:szCs w:val="20"/>
          <w:highlight w:val="green"/>
          <w:lang w:val="en-US" w:eastAsia="zh-CN" w:bidi="ar-SA"/>
        </w:rPr>
        <w:t>harmonized 6G</w:t>
      </w:r>
      <w:r>
        <w:rPr>
          <w:rFonts w:hint="eastAsia" w:ascii="Times New Roman" w:hAnsi="Times New Roman" w:eastAsia="Batang" w:cs="Times New Roman"/>
          <w:sz w:val="20"/>
          <w:szCs w:val="20"/>
          <w:highlight w:val="green"/>
          <w:lang w:val="en-US" w:eastAsia="zh-CN" w:bidi="ar-SA"/>
        </w:rPr>
        <w:t xml:space="preserve">R </w:t>
      </w:r>
      <w:r>
        <w:rPr>
          <w:rFonts w:ascii="Times New Roman" w:hAnsi="Times New Roman" w:eastAsia="Batang" w:cs="Times New Roman"/>
          <w:sz w:val="20"/>
          <w:szCs w:val="20"/>
          <w:highlight w:val="green"/>
          <w:lang w:val="en-US" w:eastAsia="zh-CN" w:bidi="ar-SA"/>
        </w:rPr>
        <w:t>design for TN and NTN</w:t>
      </w:r>
      <w:r>
        <w:rPr>
          <w:rFonts w:hint="eastAsia" w:ascii="Times New Roman" w:hAnsi="Times New Roman" w:eastAsia="Batang" w:cs="Times New Roman"/>
          <w:sz w:val="20"/>
          <w:szCs w:val="20"/>
          <w:highlight w:val="green"/>
          <w:lang w:val="en-US" w:eastAsia="zh-CN" w:bidi="ar-SA"/>
        </w:rPr>
        <w:t>, RAN1 studies to identify the technical aspects affected by NTN characteristics</w:t>
      </w:r>
      <w:r>
        <w:rPr>
          <w:rFonts w:hint="eastAsia" w:ascii="Times New Roman" w:hAnsi="Times New Roman" w:eastAsia="等线" w:cs="Times New Roman"/>
          <w:sz w:val="20"/>
          <w:szCs w:val="20"/>
          <w:highlight w:val="green"/>
          <w:lang w:val="en-US" w:eastAsia="zh-CN" w:bidi="ar-SA"/>
        </w:rPr>
        <w:t>, as well as lessons learned from NR/IoT NTN</w:t>
      </w:r>
    </w:p>
    <w:p w14:paraId="77BB943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5G, the RRM requirements for TN network and SAN were defined separately. Considering the large propagation delay difference and doppler difference caused by NTN network deployment, the main UE measurement difference between TN and NTN at least including the following:</w:t>
      </w:r>
    </w:p>
    <w:p w14:paraId="12626C2E">
      <w:pPr>
        <w:keepNext w:val="0"/>
        <w:keepLines w:val="0"/>
        <w:pageBreakBefore w:val="0"/>
        <w:numPr>
          <w:ilvl w:val="0"/>
          <w:numId w:val="20"/>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One SMTC offset can not cover inter-frequency cells due to large propagation delay</w:t>
      </w:r>
    </w:p>
    <w:p w14:paraId="306DAD1F">
      <w:pPr>
        <w:keepNext w:val="0"/>
        <w:keepLines w:val="0"/>
        <w:pageBreakBefore w:val="0"/>
        <w:numPr>
          <w:ilvl w:val="0"/>
          <w:numId w:val="20"/>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NTN, on a single frequency carrier, limited number of SMTC that UE can process in parallel </w:t>
      </w:r>
    </w:p>
    <w:p w14:paraId="363AE045">
      <w:pPr>
        <w:keepNext w:val="0"/>
        <w:keepLines w:val="0"/>
        <w:pageBreakBefore w:val="0"/>
        <w:numPr>
          <w:ilvl w:val="0"/>
          <w:numId w:val="20"/>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limited number of MG that UE can process in parallel</w:t>
      </w:r>
    </w:p>
    <w:p w14:paraId="0EAF77AE">
      <w:pPr>
        <w:keepNext w:val="0"/>
        <w:keepLines w:val="0"/>
        <w:pageBreakBefore w:val="0"/>
        <w:numPr>
          <w:ilvl w:val="0"/>
          <w:numId w:val="20"/>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within one SMTC, limited number of measurement on NGSO satellites that UE can process in parallel</w:t>
      </w:r>
    </w:p>
    <w:p w14:paraId="55B7EE9F">
      <w:pPr>
        <w:keepNext w:val="0"/>
        <w:keepLines w:val="0"/>
        <w:pageBreakBefore w:val="0"/>
        <w:numPr>
          <w:ilvl w:val="0"/>
          <w:numId w:val="20"/>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NTN, on a single carrier, limited number of target NGSO satellites that UE can monitor </w:t>
      </w:r>
    </w:p>
    <w:p w14:paraId="0B423AE8">
      <w:pPr>
        <w:keepNext w:val="0"/>
        <w:keepLines w:val="0"/>
        <w:pageBreakBefore w:val="0"/>
        <w:numPr>
          <w:ilvl w:val="0"/>
          <w:numId w:val="20"/>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UE normal operation on serving cell in parallel with measurement on difference NGSO satellite depends on UE capability.</w:t>
      </w:r>
    </w:p>
    <w:p w14:paraId="028D1EF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Towards 6G, the baseline UE measurement capability shall be reconsidered, which shall be further enhanced from NR assumption. From our perspective, at least the UE capability of parallelSMTC-r17, parallelMeasurementGap-r17, parallelMeasurementWithoutRestriction-r17 need to be inherited as mandatory to 6G.</w:t>
      </w:r>
    </w:p>
    <w:p w14:paraId="7D43284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Regarding the harmonized 6G Radio design for TN and NTN, from RAN4 RRM perspective, if both TN measurement and NTN measurement are configured to UE, the measurement priority shall be under network control. Considering the continuous and extensive deployment of TN network, the measurement on TN carrier shall have higher priority as the default assumption.</w:t>
      </w:r>
    </w:p>
    <w:p w14:paraId="673902F4">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18: Towards 6G, the baseline UE measurement capability for NTN shall be reconsidered, at least the UE capability of parallelSMTC-r17, parallelMeasurementGap-r17, parallelMeasurementWithoutRestriction-r17 need to be inherited as mandatory to 6G NTN</w:t>
      </w:r>
      <w:bookmarkStart w:id="8" w:name="_GoBack"/>
      <w:bookmarkEnd w:id="8"/>
      <w:r>
        <w:rPr>
          <w:rFonts w:hint="eastAsia" w:ascii="Times New Roman" w:hAnsi="Times New Roman" w:eastAsia="等线"/>
          <w:b/>
          <w:bCs w:val="0"/>
          <w:i/>
          <w:iCs w:val="0"/>
          <w:sz w:val="20"/>
          <w:szCs w:val="20"/>
          <w:lang w:val="en-US" w:eastAsia="zh-CN"/>
        </w:rPr>
        <w:t>.</w:t>
      </w:r>
    </w:p>
    <w:p w14:paraId="1E4C9627">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19: Within the harmonized 6G Radio design for TN and NTN, if both TN measurement and NTN measurement are configured to UE, the measurement priority shall be under network control, the measurement on TN carrier shall have higher priority as the default assumption.</w:t>
      </w:r>
    </w:p>
    <w:p w14:paraId="5B7CAC68">
      <w:pPr>
        <w:rPr>
          <w:rFonts w:ascii="Times New Roman" w:hAnsi="Times New Roman"/>
          <w:i/>
          <w:sz w:val="20"/>
          <w:szCs w:val="20"/>
        </w:rPr>
      </w:pPr>
    </w:p>
    <w:p w14:paraId="78B9A04B">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2.7 Other PHY signal/channel/procedure related RRM</w:t>
      </w:r>
    </w:p>
    <w:p w14:paraId="6FC974C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CGI (Cell Global Identity) is a basic function for ANR (Automatic Neighbor Relation), which is helpful in network planning and optimization. When requested by the network for the purpose of reportCGI, the UE shall identify and report the CGI of a NR target cell. The UE may make autonomous gaps in both downlink reception and uplink transmission for receiving MIB and SIB1 message. In 5G, CGI reading related requirements, including CGI identification delay and CGI reporting delay, are not defined in Rel-15. From the perspective of operator, CGI reading is a very important feature. It is proposed to support CGI reading from 6G day-1.</w:t>
      </w:r>
    </w:p>
    <w:p w14:paraId="3AC90FD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20: it is proposed to support CGI reading and define RAN4 requirements from 6G day-1.</w:t>
      </w:r>
    </w:p>
    <w:p w14:paraId="5ECC3B51">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RRM for 6GR</w:t>
      </w:r>
      <w:r>
        <w:rPr>
          <w:rFonts w:hint="eastAsia" w:ascii="Times New Roman" w:hAnsi="Times New Roman"/>
          <w:sz w:val="20"/>
          <w:szCs w:val="20"/>
        </w:rPr>
        <w:t>. The proposals are:</w:t>
      </w:r>
    </w:p>
    <w:p w14:paraId="2E41057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the feature with market demand are supported from 6G day-one.  </w:t>
      </w:r>
    </w:p>
    <w:p w14:paraId="7616A2B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2: it is proposed that measurement without gaps</w:t>
      </w:r>
      <w:r>
        <w:rPr>
          <w:rFonts w:hint="eastAsia" w:ascii="Times New Roman" w:hAnsi="Times New Roman" w:cs="Times New Roman"/>
          <w:b/>
          <w:bCs w:val="0"/>
          <w:i/>
          <w:iCs w:val="0"/>
          <w:sz w:val="20"/>
          <w:szCs w:val="20"/>
          <w:lang w:val="en-US" w:eastAsia="zh-CN"/>
        </w:rPr>
        <w:t xml:space="preserve"> are supported as mandatory from </w:t>
      </w:r>
      <w:r>
        <w:rPr>
          <w:rFonts w:hint="eastAsia" w:ascii="Times New Roman" w:hAnsi="Times New Roman" w:eastAsia="等线"/>
          <w:b/>
          <w:bCs w:val="0"/>
          <w:i/>
          <w:iCs w:val="0"/>
          <w:sz w:val="20"/>
          <w:szCs w:val="20"/>
          <w:lang w:val="en-US" w:eastAsia="zh-CN"/>
        </w:rPr>
        <w:t>6G day-one.</w:t>
      </w:r>
    </w:p>
    <w:p w14:paraId="50327270">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To support measurement without gaps for 6GR, 5G MG features, e.g. </w:t>
      </w:r>
      <w:r>
        <w:rPr>
          <w:rFonts w:hint="default" w:ascii="Times New Roman" w:hAnsi="Times New Roman" w:cs="Times New Roman"/>
          <w:b/>
          <w:bCs w:val="0"/>
          <w:i/>
          <w:iCs w:val="0"/>
          <w:sz w:val="20"/>
          <w:szCs w:val="20"/>
          <w:lang w:eastAsia="zh-CN"/>
        </w:rPr>
        <w:t>NCSG</w:t>
      </w:r>
      <w:r>
        <w:rPr>
          <w:rFonts w:hint="eastAsia" w:ascii="Times New Roman" w:hAnsi="Times New Roman" w:cs="Times New Roman"/>
          <w:b/>
          <w:bCs w:val="0"/>
          <w:i/>
          <w:iCs w:val="0"/>
          <w:sz w:val="20"/>
          <w:szCs w:val="20"/>
          <w:lang w:val="en-US" w:eastAsia="zh-CN"/>
        </w:rPr>
        <w:t xml:space="preserve"> </w:t>
      </w:r>
      <w:r>
        <w:rPr>
          <w:rFonts w:hint="eastAsia" w:ascii="Times New Roman" w:hAnsi="Times New Roman" w:eastAsia="等线"/>
          <w:b/>
          <w:bCs w:val="0"/>
          <w:i/>
          <w:iCs w:val="0"/>
          <w:sz w:val="20"/>
          <w:szCs w:val="20"/>
          <w:lang w:val="en-US" w:eastAsia="zh-CN"/>
        </w:rPr>
        <w:t xml:space="preserve">or </w:t>
      </w:r>
      <w:r>
        <w:rPr>
          <w:rFonts w:hint="eastAsia" w:ascii="Times New Roman" w:hAnsi="Times New Roman" w:cs="Times New Roman"/>
          <w:b/>
          <w:bCs w:val="0"/>
          <w:i/>
          <w:iCs w:val="0"/>
          <w:sz w:val="20"/>
          <w:szCs w:val="20"/>
          <w:lang w:val="en-US" w:eastAsia="zh-CN"/>
        </w:rPr>
        <w:t>NeedForGap can be used as starting point</w:t>
      </w:r>
      <w:r>
        <w:rPr>
          <w:rFonts w:hint="eastAsia" w:ascii="Times New Roman" w:hAnsi="Times New Roman" w:eastAsia="等线"/>
          <w:b/>
          <w:bCs w:val="0"/>
          <w:i/>
          <w:iCs w:val="0"/>
          <w:sz w:val="20"/>
          <w:szCs w:val="20"/>
          <w:lang w:val="en-US" w:eastAsia="zh-CN"/>
        </w:rPr>
        <w:t>.</w:t>
      </w:r>
    </w:p>
    <w:p w14:paraId="4EB51B0A">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6GR, it is proposed to discuss whether interruption are still needed for measurement without gap. Could we assume no interruption for gap-less measurement as a basic feature. </w:t>
      </w:r>
    </w:p>
    <w:p w14:paraId="357C8A9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support concurrent measurement gaps from 6G day-1.</w:t>
      </w:r>
    </w:p>
    <w:p w14:paraId="77A823F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it is proposed to support parallel measurement for the colliding measurement gaps.</w:t>
      </w:r>
    </w:p>
    <w:p w14:paraId="4EFA841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it is proposed to consider MG skipping/canceling from 6G day-1, and MG skipping/canceling is a generic approach, not limit to XR. </w:t>
      </w:r>
    </w:p>
    <w:p w14:paraId="3A5268CA">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for measurement gap design for 6GR, reducing MG patterns and increasing number of mandatory MG patterns can be discussed together.</w:t>
      </w:r>
    </w:p>
    <w:p w14:paraId="3A443BD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9: it is proposed to consider reduced RF re-tuning time when discuss the measurement gap pattern for 6GR.  </w:t>
      </w:r>
    </w:p>
    <w:p w14:paraId="0390381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10: to reduce measurement delay, it is proposed to study the increased number of searchers in order to enable simultaneous measurement.</w:t>
      </w:r>
    </w:p>
    <w:p w14:paraId="0EE923E0">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Observation 1: in NR, with the definition on </w:t>
      </w:r>
      <w:r>
        <w:rPr>
          <w:rFonts w:hint="eastAsia" w:ascii="Times New Roman" w:hAnsi="Times New Roman" w:eastAsia="等线"/>
          <w:b/>
          <w:bCs w:val="0"/>
          <w:i/>
          <w:iCs w:val="0"/>
          <w:sz w:val="20"/>
          <w:szCs w:val="20"/>
          <w:lang w:val="en-US" w:eastAsia="zh-CN"/>
        </w:rPr>
        <w:t>intra-frequency/inter-frequency measurement, measurement r</w:t>
      </w:r>
      <w:r>
        <w:rPr>
          <w:rFonts w:hint="default" w:ascii="Times New Roman" w:hAnsi="Times New Roman" w:eastAsia="等线"/>
          <w:b/>
          <w:bCs w:val="0"/>
          <w:i/>
          <w:iCs w:val="0"/>
          <w:sz w:val="20"/>
          <w:szCs w:val="20"/>
          <w:vertAlign w:val="baseline"/>
          <w:lang w:val="en-US" w:eastAsia="zh-CN"/>
        </w:rPr>
        <w:t>equirements are categorized into 4 cases: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w:t>
      </w:r>
      <w:r>
        <w:rPr>
          <w:rFonts w:hint="eastAsia" w:ascii="Times New Roman" w:hAnsi="Times New Roman" w:eastAsia="等线"/>
          <w:b/>
          <w:bCs w:val="0"/>
          <w:i/>
          <w:iCs w:val="0"/>
          <w:sz w:val="20"/>
          <w:szCs w:val="20"/>
          <w:vertAlign w:val="baseline"/>
          <w:lang w:val="en-US" w:eastAsia="zh-CN"/>
        </w:rPr>
        <w:t xml:space="preserve">, which results in complex specification and increased RAN4 workload.   </w:t>
      </w:r>
    </w:p>
    <w:p w14:paraId="4C581BB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11: it is proposed to discuss whether to have the definition on intra-frequency/ inter-frequency measurement in 6GR. Suggest to discuss whether following consideration is feasible</w:t>
      </w:r>
    </w:p>
    <w:p w14:paraId="049AB41C">
      <w:pPr>
        <w:numPr>
          <w:ilvl w:val="0"/>
          <w:numId w:val="9"/>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no definition on intra-frequency/ inter-frequency measurement. RRM requirements are categorized as measurement with gap and measurement without gap </w:t>
      </w:r>
    </w:p>
    <w:p w14:paraId="7F4B913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12:  for L3 measurement and L1 measurement for mobility, from the perspective of UE measurement, it is proposed to consider unified measurement framework and define unified measurement requirements.</w:t>
      </w:r>
    </w:p>
    <w:p w14:paraId="5853245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13: from the perspective of UE measurement, it is proposed to consider unified measurement framework and define unified requirements for RLM, BFD, CBD.</w:t>
      </w:r>
    </w:p>
    <w:p w14:paraId="27770AA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14: it is proposed to study how to reduce the latency and/or interruption for mobility</w:t>
      </w:r>
      <w:r>
        <w:rPr>
          <w:rFonts w:hint="default" w:ascii="Times New Roman" w:hAnsi="Times New Roman" w:eastAsia="等线"/>
          <w:b/>
          <w:bCs w:val="0"/>
          <w:i/>
          <w:iCs w:val="0"/>
          <w:sz w:val="20"/>
          <w:szCs w:val="20"/>
          <w:lang w:val="en-US" w:eastAsia="zh-CN"/>
        </w:rPr>
        <w:t>.</w:t>
      </w:r>
    </w:p>
    <w:p w14:paraId="6E8B12AE">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w:hAnsi="Times" w:eastAsia="等线" w:cs="Arial"/>
          <w:sz w:val="20"/>
          <w:szCs w:val="20"/>
          <w:lang w:val="en-US" w:eastAsia="zh-CN"/>
        </w:rPr>
      </w:pPr>
      <w:r>
        <w:rPr>
          <w:rFonts w:hint="eastAsia" w:ascii="Times New Roman" w:hAnsi="Times New Roman" w:eastAsia="等线"/>
          <w:b/>
          <w:bCs w:val="0"/>
          <w:i/>
          <w:iCs w:val="0"/>
          <w:sz w:val="20"/>
          <w:szCs w:val="20"/>
          <w:lang w:val="en-US" w:eastAsia="zh-CN"/>
        </w:rPr>
        <w:t xml:space="preserve">Proposal 15: For network energy efficiency, the 20ms and longer </w:t>
      </w:r>
      <w:r>
        <w:rPr>
          <w:rFonts w:hint="eastAsia" w:ascii="Times New Roman" w:hAnsi="Times New Roman" w:eastAsia="等线"/>
          <w:b/>
          <w:bCs w:val="0"/>
          <w:i/>
          <w:iCs w:val="0"/>
          <w:sz w:val="20"/>
          <w:szCs w:val="20"/>
          <w:lang w:val="en-US" w:eastAsia="en-US"/>
        </w:rPr>
        <w:t>periodicit</w:t>
      </w:r>
      <w:r>
        <w:rPr>
          <w:rFonts w:hint="eastAsia" w:ascii="Times New Roman" w:hAnsi="Times New Roman" w:eastAsia="等线"/>
          <w:b/>
          <w:bCs w:val="0"/>
          <w:i/>
          <w:iCs w:val="0"/>
          <w:sz w:val="20"/>
          <w:szCs w:val="20"/>
          <w:lang w:val="en-US" w:eastAsia="zh-CN"/>
        </w:rPr>
        <w:t>ies</w:t>
      </w:r>
      <w:r>
        <w:rPr>
          <w:rFonts w:hint="eastAsia" w:ascii="Times New Roman" w:hAnsi="Times New Roman" w:eastAsia="等线"/>
          <w:b/>
          <w:bCs w:val="0"/>
          <w:i/>
          <w:iCs w:val="0"/>
          <w:sz w:val="20"/>
          <w:szCs w:val="20"/>
          <w:lang w:val="en-US" w:eastAsia="en-US"/>
        </w:rPr>
        <w:t xml:space="preserve"> of sync signal(s)</w:t>
      </w:r>
      <w:r>
        <w:rPr>
          <w:rFonts w:hint="eastAsia" w:ascii="Times New Roman" w:hAnsi="Times New Roman" w:eastAsia="等线"/>
          <w:b/>
          <w:bCs w:val="0"/>
          <w:i/>
          <w:iCs w:val="0"/>
          <w:sz w:val="20"/>
          <w:szCs w:val="20"/>
          <w:lang w:val="en-US" w:eastAsia="zh-CN"/>
        </w:rPr>
        <w:t>, on-demand sync signal(s), signal-less carriers/cells/TRPs, on-demand SIB-1 mechanisms can be involved in RAN4 study scope, and the corresponding work in 5G can be the starting point.</w:t>
      </w:r>
    </w:p>
    <w:p w14:paraId="3610C9FF">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16: For UE energy efficiency, RAN4 need to wait the RAN1/RAN2 progress and then refine measurement design strategy, our initial thinking is as below:</w:t>
      </w:r>
    </w:p>
    <w:p w14:paraId="7430EB09">
      <w:pPr>
        <w:keepNext w:val="0"/>
        <w:keepLines w:val="0"/>
        <w:pageBreakBefore w:val="0"/>
        <w:numPr>
          <w:ilvl w:val="0"/>
          <w:numId w:val="21"/>
        </w:numPr>
        <w:kinsoku/>
        <w:wordWrap/>
        <w:topLinePunct w:val="0"/>
        <w:bidi w:val="0"/>
        <w:snapToGrid/>
        <w:spacing w:before="60" w:after="60" w:line="240" w:lineRule="auto"/>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DL-WUS mechanism can be involved in RAN4 study scope, the LP-WUR related work in 5G can be the starting point</w:t>
      </w:r>
    </w:p>
    <w:p w14:paraId="466EBA49">
      <w:pPr>
        <w:keepNext w:val="0"/>
        <w:keepLines w:val="0"/>
        <w:pageBreakBefore w:val="0"/>
        <w:numPr>
          <w:ilvl w:val="0"/>
          <w:numId w:val="21"/>
        </w:numPr>
        <w:kinsoku/>
        <w:wordWrap/>
        <w:topLinePunct w:val="0"/>
        <w:bidi w:val="0"/>
        <w:snapToGrid/>
        <w:spacing w:before="60" w:after="60" w:line="240" w:lineRule="auto"/>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Whether to continue the DRX cycle bounded measurement requirement in 6G</w:t>
      </w:r>
    </w:p>
    <w:p w14:paraId="13551366">
      <w:pPr>
        <w:keepNext w:val="0"/>
        <w:keepLines w:val="0"/>
        <w:pageBreakBefore w:val="0"/>
        <w:numPr>
          <w:ilvl w:val="0"/>
          <w:numId w:val="21"/>
        </w:numPr>
        <w:kinsoku/>
        <w:wordWrap/>
        <w:topLinePunct w:val="0"/>
        <w:bidi w:val="0"/>
        <w:snapToGrid/>
        <w:spacing w:before="60" w:after="60" w:line="240" w:lineRule="auto"/>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Whether to integrate the link quality and mobility state with measurement requirement in 6G Day1</w:t>
      </w:r>
    </w:p>
    <w:p w14:paraId="5C93242A">
      <w:pPr>
        <w:keepNext w:val="0"/>
        <w:keepLines w:val="0"/>
        <w:pageBreakBefore w:val="0"/>
        <w:numPr>
          <w:ilvl w:val="0"/>
          <w:numId w:val="21"/>
        </w:numPr>
        <w:kinsoku/>
        <w:wordWrap/>
        <w:topLinePunct w:val="0"/>
        <w:bidi w:val="0"/>
        <w:snapToGrid/>
        <w:spacing w:before="60" w:after="60" w:line="240" w:lineRule="auto"/>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Merge repeated measurement behaviors. Unified L1/L3 measurement as we discussed in Clause 2.2 can be the starting point.</w:t>
      </w:r>
    </w:p>
    <w:p w14:paraId="2BF86F6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17: it is proposed to study RRM impact due to hyper cell (i.e. single cell with multiple carrier).   </w:t>
      </w:r>
    </w:p>
    <w:p w14:paraId="1925B205">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18: Towards 6G, the baseline UE measurement capability for NTN shall be reconsidered, at least the UE capability of parallelSMTC-r17, parallelMeasurementGap-r17, parallelMeasurementWithoutRestriction-r17 need to be inherited as mandatory to 6G NTN.</w:t>
      </w:r>
    </w:p>
    <w:p w14:paraId="6FB6D57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19: Within the harmonized 6G Radio design for TN and NTN, if both TN measurement and NTN measurement are configured to UE, the measurement priority shall be under network control, the measurement on TN carrier shall have higher priority as the default assumption.</w:t>
      </w:r>
    </w:p>
    <w:p w14:paraId="54D148E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20: it is proposed to support CGI reading and define RAN4 requirements from 6G day-1.</w:t>
      </w:r>
    </w:p>
    <w:p w14:paraId="20351312">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8"/>
        <w:framePr w:wrap="auto" w:vAnchor="margin" w:hAnchor="text" w:yAlign="inline"/>
        <w:numPr>
          <w:ilvl w:val="0"/>
          <w:numId w:val="22"/>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11ED7215">
      <w:pPr>
        <w:pStyle w:val="18"/>
        <w:framePr w:wrap="auto" w:vAnchor="margin" w:hAnchor="text" w:yAlign="inline"/>
        <w:numPr>
          <w:ilvl w:val="0"/>
          <w:numId w:val="22"/>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r>
        <w:rPr>
          <w:rFonts w:hint="eastAsia" w:ascii="Times" w:hAnsi="Times" w:eastAsia="宋体"/>
          <w:b w:val="0"/>
          <w:sz w:val="20"/>
          <w:lang w:val="en-US" w:eastAsia="zh-CN"/>
        </w:rPr>
        <w:t>, Apple</w:t>
      </w:r>
    </w:p>
    <w:p w14:paraId="518B108C">
      <w:pPr>
        <w:pStyle w:val="18"/>
        <w:framePr w:wrap="auto" w:vAnchor="margin" w:hAnchor="text" w:yAlign="inline"/>
        <w:numPr>
          <w:ilvl w:val="0"/>
          <w:numId w:val="22"/>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8"/>
        <w:framePr w:wrap="auto" w:vAnchor="margin" w:hAnchor="text" w:yAlign="inline"/>
        <w:ind w:right="400"/>
        <w:jc w:val="both"/>
        <w:rPr>
          <w:rFonts w:ascii="Times" w:hAnsi="Times" w:eastAsia="宋体"/>
          <w:b w:val="0"/>
          <w:sz w:val="20"/>
          <w:lang w:eastAsia="zh-CN"/>
        </w:rPr>
      </w:pPr>
    </w:p>
    <w:p w14:paraId="32EF543F">
      <w:pPr>
        <w:pStyle w:val="18"/>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41A88F"/>
    <w:multiLevelType w:val="multilevel"/>
    <w:tmpl w:val="8441A88F"/>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A042621A"/>
    <w:multiLevelType w:val="singleLevel"/>
    <w:tmpl w:val="A042621A"/>
    <w:lvl w:ilvl="0" w:tentative="0">
      <w:start w:val="1"/>
      <w:numFmt w:val="decimal"/>
      <w:suff w:val="space"/>
      <w:lvlText w:val="%1."/>
      <w:lvlJc w:val="left"/>
    </w:lvl>
  </w:abstractNum>
  <w:abstractNum w:abstractNumId="2">
    <w:nsid w:val="DE5ACEF2"/>
    <w:multiLevelType w:val="singleLevel"/>
    <w:tmpl w:val="DE5ACEF2"/>
    <w:lvl w:ilvl="0" w:tentative="0">
      <w:start w:val="1"/>
      <w:numFmt w:val="bullet"/>
      <w:lvlText w:val=""/>
      <w:lvlJc w:val="left"/>
      <w:pPr>
        <w:ind w:left="420" w:hanging="420"/>
      </w:pPr>
      <w:rPr>
        <w:rFonts w:hint="default" w:ascii="Wingdings" w:hAnsi="Wingdings"/>
      </w:rPr>
    </w:lvl>
  </w:abstractNum>
  <w:abstractNum w:abstractNumId="3">
    <w:nsid w:val="F1C93DE2"/>
    <w:multiLevelType w:val="multilevel"/>
    <w:tmpl w:val="F1C93DE2"/>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F6871401"/>
    <w:multiLevelType w:val="singleLevel"/>
    <w:tmpl w:val="F6871401"/>
    <w:lvl w:ilvl="0" w:tentative="0">
      <w:start w:val="1"/>
      <w:numFmt w:val="decimal"/>
      <w:suff w:val="space"/>
      <w:lvlText w:val="[%1]"/>
      <w:lvlJc w:val="left"/>
    </w:lvl>
  </w:abstractNum>
  <w:abstractNum w:abstractNumId="5">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6B06215"/>
    <w:multiLevelType w:val="multilevel"/>
    <w:tmpl w:val="26B06215"/>
    <w:lvl w:ilvl="0" w:tentative="0">
      <w:start w:val="1"/>
      <w:numFmt w:val="bullet"/>
      <w:lvlText w:val=""/>
      <w:lvlJc w:val="left"/>
      <w:pPr>
        <w:tabs>
          <w:tab w:val="left" w:pos="0"/>
        </w:tabs>
        <w:ind w:left="360" w:hanging="360"/>
      </w:pPr>
      <w:rPr>
        <w:rFonts w:hint="default" w:ascii="Symbol" w:hAnsi="Symbol" w:cs="Symbol"/>
        <w:b w:val="0"/>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8">
    <w:nsid w:val="26FA0427"/>
    <w:multiLevelType w:val="multilevel"/>
    <w:tmpl w:val="26FA04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9">
    <w:nsid w:val="29984889"/>
    <w:multiLevelType w:val="singleLevel"/>
    <w:tmpl w:val="29984889"/>
    <w:lvl w:ilvl="0" w:tentative="0">
      <w:start w:val="1"/>
      <w:numFmt w:val="bullet"/>
      <w:lvlText w:val=""/>
      <w:lvlJc w:val="left"/>
      <w:pPr>
        <w:ind w:left="420" w:hanging="420"/>
      </w:pPr>
      <w:rPr>
        <w:rFonts w:hint="default" w:ascii="Wingdings" w:hAnsi="Wingdings"/>
      </w:rPr>
    </w:lvl>
  </w:abstractNum>
  <w:abstractNum w:abstractNumId="10">
    <w:nsid w:val="32812A91"/>
    <w:multiLevelType w:val="singleLevel"/>
    <w:tmpl w:val="32812A91"/>
    <w:lvl w:ilvl="0" w:tentative="0">
      <w:start w:val="1"/>
      <w:numFmt w:val="decimal"/>
      <w:suff w:val="space"/>
      <w:lvlText w:val="%1."/>
      <w:lvlJc w:val="left"/>
    </w:lvl>
  </w:abstractNum>
  <w:abstractNum w:abstractNumId="11">
    <w:nsid w:val="341F3F59"/>
    <w:multiLevelType w:val="multilevel"/>
    <w:tmpl w:val="341F3F59"/>
    <w:lvl w:ilvl="0" w:tentative="0">
      <w:start w:val="1"/>
      <w:numFmt w:val="bullet"/>
      <w:lvlText w:val=""/>
      <w:lvlJc w:val="left"/>
      <w:pPr>
        <w:tabs>
          <w:tab w:val="left" w:pos="0"/>
        </w:tabs>
        <w:ind w:left="780" w:hanging="420"/>
      </w:pPr>
      <w:rPr>
        <w:rFonts w:hint="default" w:ascii="Wingdings" w:hAnsi="Wingdings" w:cs="Wingdings"/>
        <w:strike w:val="0"/>
      </w:rPr>
    </w:lvl>
    <w:lvl w:ilvl="1" w:tentative="0">
      <w:start w:val="1"/>
      <w:numFmt w:val="bullet"/>
      <w:lvlText w:val=""/>
      <w:lvlJc w:val="left"/>
      <w:pPr>
        <w:tabs>
          <w:tab w:val="left" w:pos="0"/>
        </w:tabs>
        <w:ind w:left="1200" w:hanging="420"/>
      </w:pPr>
      <w:rPr>
        <w:rFonts w:hint="default" w:ascii="Wingdings" w:hAnsi="Wingdings" w:cs="Wingdings"/>
      </w:rPr>
    </w:lvl>
    <w:lvl w:ilvl="2" w:tentative="0">
      <w:start w:val="1"/>
      <w:numFmt w:val="bullet"/>
      <w:lvlText w:val=""/>
      <w:lvlJc w:val="left"/>
      <w:pPr>
        <w:tabs>
          <w:tab w:val="left" w:pos="0"/>
        </w:tabs>
        <w:ind w:left="1620" w:hanging="420"/>
      </w:pPr>
      <w:rPr>
        <w:rFonts w:hint="default" w:ascii="Wingdings" w:hAnsi="Wingdings" w:cs="Wingdings"/>
      </w:rPr>
    </w:lvl>
    <w:lvl w:ilvl="3" w:tentative="0">
      <w:start w:val="1"/>
      <w:numFmt w:val="bullet"/>
      <w:lvlText w:val=""/>
      <w:lvlJc w:val="left"/>
      <w:pPr>
        <w:tabs>
          <w:tab w:val="left" w:pos="0"/>
        </w:tabs>
        <w:ind w:left="2040" w:hanging="420"/>
      </w:pPr>
      <w:rPr>
        <w:rFonts w:hint="default" w:ascii="Wingdings" w:hAnsi="Wingdings" w:cs="Wingdings"/>
      </w:rPr>
    </w:lvl>
    <w:lvl w:ilvl="4" w:tentative="0">
      <w:start w:val="1"/>
      <w:numFmt w:val="bullet"/>
      <w:lvlText w:val=""/>
      <w:lvlJc w:val="left"/>
      <w:pPr>
        <w:tabs>
          <w:tab w:val="left" w:pos="0"/>
        </w:tabs>
        <w:ind w:left="2460" w:hanging="420"/>
      </w:pPr>
      <w:rPr>
        <w:rFonts w:hint="default" w:ascii="Wingdings" w:hAnsi="Wingdings" w:cs="Wingdings"/>
      </w:rPr>
    </w:lvl>
    <w:lvl w:ilvl="5" w:tentative="0">
      <w:start w:val="1"/>
      <w:numFmt w:val="bullet"/>
      <w:lvlText w:val=""/>
      <w:lvlJc w:val="left"/>
      <w:pPr>
        <w:tabs>
          <w:tab w:val="left" w:pos="0"/>
        </w:tabs>
        <w:ind w:left="2880" w:hanging="420"/>
      </w:pPr>
      <w:rPr>
        <w:rFonts w:hint="default" w:ascii="Wingdings" w:hAnsi="Wingdings" w:cs="Wingdings"/>
      </w:rPr>
    </w:lvl>
    <w:lvl w:ilvl="6" w:tentative="0">
      <w:start w:val="1"/>
      <w:numFmt w:val="bullet"/>
      <w:lvlText w:val=""/>
      <w:lvlJc w:val="left"/>
      <w:pPr>
        <w:tabs>
          <w:tab w:val="left" w:pos="0"/>
        </w:tabs>
        <w:ind w:left="3300" w:hanging="420"/>
      </w:pPr>
      <w:rPr>
        <w:rFonts w:hint="default" w:ascii="Wingdings" w:hAnsi="Wingdings" w:cs="Wingdings"/>
      </w:rPr>
    </w:lvl>
    <w:lvl w:ilvl="7" w:tentative="0">
      <w:start w:val="1"/>
      <w:numFmt w:val="bullet"/>
      <w:lvlText w:val=""/>
      <w:lvlJc w:val="left"/>
      <w:pPr>
        <w:tabs>
          <w:tab w:val="left" w:pos="0"/>
        </w:tabs>
        <w:ind w:left="3720" w:hanging="420"/>
      </w:pPr>
      <w:rPr>
        <w:rFonts w:hint="default" w:ascii="Wingdings" w:hAnsi="Wingdings" w:cs="Wingdings"/>
      </w:rPr>
    </w:lvl>
    <w:lvl w:ilvl="8" w:tentative="0">
      <w:start w:val="1"/>
      <w:numFmt w:val="bullet"/>
      <w:lvlText w:val=""/>
      <w:lvlJc w:val="left"/>
      <w:pPr>
        <w:tabs>
          <w:tab w:val="left" w:pos="0"/>
        </w:tabs>
        <w:ind w:left="4140" w:hanging="420"/>
      </w:pPr>
      <w:rPr>
        <w:rFonts w:hint="default" w:ascii="Wingdings" w:hAnsi="Wingdings" w:cs="Wingdings"/>
      </w:rPr>
    </w:lvl>
  </w:abstractNum>
  <w:abstractNum w:abstractNumId="12">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532F6E4B"/>
    <w:multiLevelType w:val="multilevel"/>
    <w:tmpl w:val="532F6E4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62A1884D"/>
    <w:multiLevelType w:val="singleLevel"/>
    <w:tmpl w:val="62A1884D"/>
    <w:lvl w:ilvl="0" w:tentative="0">
      <w:start w:val="1"/>
      <w:numFmt w:val="decimal"/>
      <w:suff w:val="space"/>
      <w:lvlText w:val="%1."/>
      <w:lvlJc w:val="left"/>
    </w:lvl>
  </w:abstractNum>
  <w:abstractNum w:abstractNumId="18">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9AA6330"/>
    <w:multiLevelType w:val="multilevel"/>
    <w:tmpl w:val="69AA633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21"/>
  </w:num>
  <w:num w:numId="2">
    <w:abstractNumId w:val="12"/>
  </w:num>
  <w:num w:numId="3">
    <w:abstractNumId w:val="20"/>
  </w:num>
  <w:num w:numId="4">
    <w:abstractNumId w:val="6"/>
  </w:num>
  <w:num w:numId="5">
    <w:abstractNumId w:val="5"/>
  </w:num>
  <w:num w:numId="6">
    <w:abstractNumId w:val="13"/>
  </w:num>
  <w:num w:numId="7">
    <w:abstractNumId w:val="8"/>
  </w:num>
  <w:num w:numId="8">
    <w:abstractNumId w:val="16"/>
  </w:num>
  <w:num w:numId="9">
    <w:abstractNumId w:val="9"/>
  </w:num>
  <w:num w:numId="10">
    <w:abstractNumId w:val="7"/>
  </w:num>
  <w:num w:numId="11">
    <w:abstractNumId w:val="15"/>
  </w:num>
  <w:num w:numId="12">
    <w:abstractNumId w:val="19"/>
  </w:num>
  <w:num w:numId="13">
    <w:abstractNumId w:val="11"/>
  </w:num>
  <w:num w:numId="14">
    <w:abstractNumId w:val="10"/>
  </w:num>
  <w:num w:numId="15">
    <w:abstractNumId w:val="1"/>
  </w:num>
  <w:num w:numId="16">
    <w:abstractNumId w:val="0"/>
  </w:num>
  <w:num w:numId="17">
    <w:abstractNumId w:val="18"/>
  </w:num>
  <w:num w:numId="18">
    <w:abstractNumId w:val="3"/>
  </w:num>
  <w:num w:numId="19">
    <w:abstractNumId w:val="14"/>
  </w:num>
  <w:num w:numId="20">
    <w:abstractNumId w:val="1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C23747"/>
    <w:rsid w:val="031E1229"/>
    <w:rsid w:val="034E5E6A"/>
    <w:rsid w:val="039479AE"/>
    <w:rsid w:val="03C030A6"/>
    <w:rsid w:val="050F525C"/>
    <w:rsid w:val="053428A8"/>
    <w:rsid w:val="05DE4E38"/>
    <w:rsid w:val="05FD1D18"/>
    <w:rsid w:val="06E076D6"/>
    <w:rsid w:val="06FD1204"/>
    <w:rsid w:val="07CE2E09"/>
    <w:rsid w:val="07E40B71"/>
    <w:rsid w:val="087E7B4F"/>
    <w:rsid w:val="089D0CB1"/>
    <w:rsid w:val="08B50B7B"/>
    <w:rsid w:val="08F5133F"/>
    <w:rsid w:val="09405F3B"/>
    <w:rsid w:val="09AF2A9B"/>
    <w:rsid w:val="09B01C47"/>
    <w:rsid w:val="09C613F5"/>
    <w:rsid w:val="0A573618"/>
    <w:rsid w:val="0A583B83"/>
    <w:rsid w:val="0B943C03"/>
    <w:rsid w:val="0C3B6B9E"/>
    <w:rsid w:val="0CF70E43"/>
    <w:rsid w:val="0D1C7510"/>
    <w:rsid w:val="0D8E29D6"/>
    <w:rsid w:val="0EC3241C"/>
    <w:rsid w:val="0F4C27CC"/>
    <w:rsid w:val="0FA30B04"/>
    <w:rsid w:val="0FE50EF5"/>
    <w:rsid w:val="105F7F23"/>
    <w:rsid w:val="111346BF"/>
    <w:rsid w:val="11A46535"/>
    <w:rsid w:val="127D6382"/>
    <w:rsid w:val="12B40A3B"/>
    <w:rsid w:val="13C50F53"/>
    <w:rsid w:val="142E3B2B"/>
    <w:rsid w:val="14A31207"/>
    <w:rsid w:val="14A423A8"/>
    <w:rsid w:val="15685863"/>
    <w:rsid w:val="158C5854"/>
    <w:rsid w:val="15C5068C"/>
    <w:rsid w:val="15D02265"/>
    <w:rsid w:val="15F6718A"/>
    <w:rsid w:val="16507E0F"/>
    <w:rsid w:val="16AE28C5"/>
    <w:rsid w:val="16E27EB6"/>
    <w:rsid w:val="176048E7"/>
    <w:rsid w:val="17ED0CBB"/>
    <w:rsid w:val="18B21538"/>
    <w:rsid w:val="18F812CD"/>
    <w:rsid w:val="19150AB5"/>
    <w:rsid w:val="1954064E"/>
    <w:rsid w:val="198619D0"/>
    <w:rsid w:val="1A114D54"/>
    <w:rsid w:val="1A720A97"/>
    <w:rsid w:val="1AB30271"/>
    <w:rsid w:val="1BF82959"/>
    <w:rsid w:val="1C970BAC"/>
    <w:rsid w:val="1FA060F1"/>
    <w:rsid w:val="1FAC7931"/>
    <w:rsid w:val="20665761"/>
    <w:rsid w:val="21C5713A"/>
    <w:rsid w:val="23C457EB"/>
    <w:rsid w:val="23D51059"/>
    <w:rsid w:val="247B4ED4"/>
    <w:rsid w:val="25804EA1"/>
    <w:rsid w:val="25C11700"/>
    <w:rsid w:val="26916953"/>
    <w:rsid w:val="299824CF"/>
    <w:rsid w:val="2A292E18"/>
    <w:rsid w:val="2C372A17"/>
    <w:rsid w:val="2C3D01A4"/>
    <w:rsid w:val="2F3D15B9"/>
    <w:rsid w:val="2FD9098F"/>
    <w:rsid w:val="30311B43"/>
    <w:rsid w:val="31441032"/>
    <w:rsid w:val="31890F43"/>
    <w:rsid w:val="32851872"/>
    <w:rsid w:val="32E85F26"/>
    <w:rsid w:val="342D50A6"/>
    <w:rsid w:val="34453CA2"/>
    <w:rsid w:val="354613F6"/>
    <w:rsid w:val="35D22FBC"/>
    <w:rsid w:val="370128CF"/>
    <w:rsid w:val="393E203F"/>
    <w:rsid w:val="394B380F"/>
    <w:rsid w:val="396046AE"/>
    <w:rsid w:val="39C97388"/>
    <w:rsid w:val="3BBC450D"/>
    <w:rsid w:val="3BFF4ED4"/>
    <w:rsid w:val="3CD662DF"/>
    <w:rsid w:val="3CDB5BF5"/>
    <w:rsid w:val="3D86573D"/>
    <w:rsid w:val="3D8A7087"/>
    <w:rsid w:val="3DD71886"/>
    <w:rsid w:val="3DEF01B7"/>
    <w:rsid w:val="3DFA571D"/>
    <w:rsid w:val="3E757DCD"/>
    <w:rsid w:val="3E9E1A93"/>
    <w:rsid w:val="407C5E04"/>
    <w:rsid w:val="41D3540D"/>
    <w:rsid w:val="41F34C46"/>
    <w:rsid w:val="427D7E24"/>
    <w:rsid w:val="42972BCC"/>
    <w:rsid w:val="43F90615"/>
    <w:rsid w:val="44361844"/>
    <w:rsid w:val="44715EBB"/>
    <w:rsid w:val="46D930CB"/>
    <w:rsid w:val="46E4575A"/>
    <w:rsid w:val="473964E9"/>
    <w:rsid w:val="47E11C0A"/>
    <w:rsid w:val="49000143"/>
    <w:rsid w:val="4A453726"/>
    <w:rsid w:val="4A5C4A8C"/>
    <w:rsid w:val="4BCD427D"/>
    <w:rsid w:val="4D1B2866"/>
    <w:rsid w:val="4D3D03C8"/>
    <w:rsid w:val="4DC253B8"/>
    <w:rsid w:val="4DFF5B86"/>
    <w:rsid w:val="4E1736E9"/>
    <w:rsid w:val="4E4308F0"/>
    <w:rsid w:val="4E5A52AA"/>
    <w:rsid w:val="4EB15812"/>
    <w:rsid w:val="4F2A68EE"/>
    <w:rsid w:val="4F305AF3"/>
    <w:rsid w:val="502C341E"/>
    <w:rsid w:val="50BC7085"/>
    <w:rsid w:val="50D756B0"/>
    <w:rsid w:val="52A87B2A"/>
    <w:rsid w:val="5516017D"/>
    <w:rsid w:val="554E6B03"/>
    <w:rsid w:val="579831C5"/>
    <w:rsid w:val="587B1239"/>
    <w:rsid w:val="592F4560"/>
    <w:rsid w:val="59587923"/>
    <w:rsid w:val="5A5F4374"/>
    <w:rsid w:val="5B8930BB"/>
    <w:rsid w:val="5CF31BE4"/>
    <w:rsid w:val="5D59246C"/>
    <w:rsid w:val="5D6323CD"/>
    <w:rsid w:val="5DCC0D69"/>
    <w:rsid w:val="5DD450F9"/>
    <w:rsid w:val="5E292E46"/>
    <w:rsid w:val="5E5B41DD"/>
    <w:rsid w:val="5E8D7D80"/>
    <w:rsid w:val="5F523471"/>
    <w:rsid w:val="60464805"/>
    <w:rsid w:val="60CF35B8"/>
    <w:rsid w:val="61554B37"/>
    <w:rsid w:val="62865532"/>
    <w:rsid w:val="63860958"/>
    <w:rsid w:val="63A57B87"/>
    <w:rsid w:val="63FC1142"/>
    <w:rsid w:val="64CB576C"/>
    <w:rsid w:val="64D44968"/>
    <w:rsid w:val="64D4607B"/>
    <w:rsid w:val="65E96850"/>
    <w:rsid w:val="661D5DA5"/>
    <w:rsid w:val="66BC011A"/>
    <w:rsid w:val="67330DA8"/>
    <w:rsid w:val="6733467F"/>
    <w:rsid w:val="676957D3"/>
    <w:rsid w:val="6A356F1A"/>
    <w:rsid w:val="6AC458C1"/>
    <w:rsid w:val="6ACE1BC9"/>
    <w:rsid w:val="6C8E3A48"/>
    <w:rsid w:val="6D205895"/>
    <w:rsid w:val="6D620092"/>
    <w:rsid w:val="6DF67E77"/>
    <w:rsid w:val="6E2B1C40"/>
    <w:rsid w:val="6F3538B4"/>
    <w:rsid w:val="6F984846"/>
    <w:rsid w:val="70043688"/>
    <w:rsid w:val="71130734"/>
    <w:rsid w:val="715440AF"/>
    <w:rsid w:val="724D5513"/>
    <w:rsid w:val="73784283"/>
    <w:rsid w:val="73997A98"/>
    <w:rsid w:val="739A5EFA"/>
    <w:rsid w:val="73FA42D5"/>
    <w:rsid w:val="74AF2AFE"/>
    <w:rsid w:val="753E3654"/>
    <w:rsid w:val="75886832"/>
    <w:rsid w:val="75EB31C2"/>
    <w:rsid w:val="775D7246"/>
    <w:rsid w:val="77D070AC"/>
    <w:rsid w:val="78824EE6"/>
    <w:rsid w:val="79CD59E4"/>
    <w:rsid w:val="79D9262A"/>
    <w:rsid w:val="79F42021"/>
    <w:rsid w:val="7A4603DC"/>
    <w:rsid w:val="7AB15C57"/>
    <w:rsid w:val="7B634826"/>
    <w:rsid w:val="7B912423"/>
    <w:rsid w:val="7C3F053B"/>
    <w:rsid w:val="7C3F4164"/>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4"/>
    <w:basedOn w:val="5"/>
    <w:qFormat/>
    <w:uiPriority w:val="0"/>
    <w:pPr>
      <w:ind w:left="1418"/>
    </w:pPr>
  </w:style>
  <w:style w:type="table" w:styleId="14">
    <w:name w:val="Table Grid"/>
    <w:basedOn w:val="13"/>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B1"/>
    <w:basedOn w:val="7"/>
    <w:qFormat/>
    <w:uiPriority w:val="0"/>
    <w:pPr>
      <w:ind w:left="568" w:hanging="284"/>
    </w:pPr>
  </w:style>
  <w:style w:type="paragraph" w:customStyle="1" w:styleId="20">
    <w:name w:val="B2"/>
    <w:basedOn w:val="6"/>
    <w:qFormat/>
    <w:uiPriority w:val="0"/>
    <w:pPr>
      <w:ind w:left="851" w:hanging="284"/>
    </w:pPr>
  </w:style>
  <w:style w:type="paragraph" w:customStyle="1" w:styleId="21">
    <w:name w:val="B3"/>
    <w:basedOn w:val="5"/>
    <w:qFormat/>
    <w:uiPriority w:val="0"/>
    <w:pPr>
      <w:ind w:left="1135" w:hanging="284"/>
    </w:pPr>
  </w:style>
  <w:style w:type="paragraph" w:customStyle="1" w:styleId="22">
    <w:name w:val="Agreement"/>
    <w:basedOn w:val="1"/>
    <w:next w:val="23"/>
    <w:qFormat/>
    <w:uiPriority w:val="99"/>
    <w:pPr>
      <w:numPr>
        <w:ilvl w:val="0"/>
        <w:numId w:val="3"/>
      </w:numPr>
      <w:spacing w:before="60"/>
    </w:pPr>
    <w:rPr>
      <w:b/>
    </w:rPr>
  </w:style>
  <w:style w:type="paragraph" w:customStyle="1" w:styleId="23">
    <w:name w:val="Doc-text2"/>
    <w:basedOn w:val="1"/>
    <w:qFormat/>
    <w:uiPriority w:val="0"/>
    <w:pPr>
      <w:tabs>
        <w:tab w:val="left" w:pos="1622"/>
      </w:tabs>
      <w:spacing w:before="0"/>
      <w:ind w:left="1622" w:hanging="363"/>
    </w:pPr>
  </w:style>
  <w:style w:type="paragraph" w:customStyle="1" w:styleId="24">
    <w:name w:val="B4"/>
    <w:basedOn w:val="12"/>
    <w:qFormat/>
    <w:uiPriority w:val="0"/>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7</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2025-11-07T07:22:05Z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